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484022">
      <w:pPr>
        <w:spacing w:before="312" w:beforeLines="100" w:after="312" w:afterLines="100"/>
        <w:jc w:val="center"/>
        <w:rPr>
          <w:rFonts w:ascii="微软雅黑" w:hAnsi="微软雅黑" w:eastAsia="微软雅黑" w:cs="Times New Roman"/>
          <w:b/>
          <w:sz w:val="36"/>
          <w:szCs w:val="36"/>
        </w:rPr>
      </w:pPr>
      <w:r>
        <w:rPr>
          <w:rFonts w:hint="eastAsia" w:ascii="微软雅黑" w:hAnsi="微软雅黑" w:eastAsia="微软雅黑" w:cs="Times New Roman"/>
          <w:b/>
          <w:sz w:val="36"/>
          <w:szCs w:val="36"/>
        </w:rPr>
        <w:t>工业机器人技术</w:t>
      </w:r>
      <w:r>
        <w:rPr>
          <w:rFonts w:ascii="微软雅黑" w:hAnsi="微软雅黑" w:eastAsia="微软雅黑" w:cs="Times New Roman"/>
          <w:b/>
          <w:sz w:val="36"/>
          <w:szCs w:val="36"/>
        </w:rPr>
        <w:t>专业</w:t>
      </w:r>
      <w:r>
        <w:rPr>
          <w:rFonts w:hint="eastAsia" w:ascii="微软雅黑" w:hAnsi="微软雅黑" w:eastAsia="微软雅黑" w:cs="Times New Roman"/>
          <w:b/>
          <w:sz w:val="36"/>
          <w:szCs w:val="36"/>
        </w:rPr>
        <w:t>转专业录取办法</w:t>
      </w:r>
    </w:p>
    <w:p w14:paraId="60BED38F">
      <w:pPr>
        <w:pStyle w:val="2"/>
        <w:spacing w:line="360" w:lineRule="auto"/>
        <w:ind w:firstLine="560" w:firstLineChars="200"/>
        <w:rPr>
          <w:rFonts w:cs="Times New Roman" w:asciiTheme="minorEastAsia" w:hAnsiTheme="minorEastAsia" w:eastAsiaTheme="minorEastAsia"/>
          <w:color w:val="auto"/>
          <w:sz w:val="28"/>
          <w:szCs w:val="28"/>
        </w:rPr>
      </w:pPr>
      <w:r>
        <w:rPr>
          <w:rFonts w:hint="eastAsia" w:cs="Times New Roman" w:asciiTheme="minorEastAsia" w:hAnsiTheme="minorEastAsia" w:eastAsiaTheme="minorEastAsia"/>
          <w:color w:val="auto"/>
          <w:sz w:val="28"/>
          <w:szCs w:val="28"/>
        </w:rPr>
        <w:t>为适应高等职业教育改革与发展，充分体现“以生为本”的教育理念，尊重学生个人志向，发挥学生专长，激发学生学习积极性、主动性，进一步完善个性化人才培养模式，进一步规范学校学生转专业行为，科学稳妥地组织转专业相关工作，依据《江苏海事职业技术学院学生学籍管理办法》制定本办法。</w:t>
      </w:r>
    </w:p>
    <w:p w14:paraId="4B919962">
      <w:pPr>
        <w:pStyle w:val="2"/>
        <w:ind w:firstLine="549"/>
        <w:rPr>
          <w:rFonts w:ascii="微软雅黑" w:hAnsi="微软雅黑" w:eastAsia="微软雅黑" w:cs="Times New Roman"/>
          <w:b/>
          <w:color w:val="auto"/>
          <w:sz w:val="28"/>
          <w:szCs w:val="28"/>
        </w:rPr>
      </w:pPr>
      <w:bookmarkStart w:id="0" w:name="_Toc396497634"/>
      <w:bookmarkStart w:id="1" w:name="_Toc393236437"/>
      <w:bookmarkStart w:id="2" w:name="_Toc396497324"/>
      <w:bookmarkStart w:id="3" w:name="_Toc396497526"/>
      <w:bookmarkStart w:id="4" w:name="_Toc396501700"/>
      <w:r>
        <w:rPr>
          <w:rFonts w:ascii="微软雅黑" w:hAnsi="微软雅黑" w:eastAsia="微软雅黑" w:cs="Times New Roman"/>
          <w:b/>
          <w:color w:val="auto"/>
          <w:sz w:val="28"/>
          <w:szCs w:val="28"/>
        </w:rPr>
        <w:t>一、专业基本信息</w:t>
      </w:r>
      <w:bookmarkEnd w:id="0"/>
      <w:bookmarkEnd w:id="1"/>
      <w:bookmarkEnd w:id="2"/>
      <w:bookmarkEnd w:id="3"/>
      <w:bookmarkEnd w:id="4"/>
    </w:p>
    <w:p w14:paraId="4E0BE2EA">
      <w:pPr>
        <w:pStyle w:val="2"/>
        <w:ind w:firstLine="549"/>
        <w:rPr>
          <w:rFonts w:ascii="微软雅黑" w:hAnsi="微软雅黑" w:eastAsia="微软雅黑" w:cs="Times New Roman"/>
          <w:b/>
          <w:color w:val="auto"/>
          <w:sz w:val="28"/>
          <w:szCs w:val="28"/>
        </w:rPr>
      </w:pPr>
      <w:bookmarkStart w:id="5" w:name="_Toc396497325"/>
      <w:bookmarkStart w:id="6" w:name="_Toc393236438"/>
      <w:bookmarkStart w:id="7" w:name="_Toc396497527"/>
      <w:bookmarkStart w:id="8" w:name="_Toc396501701"/>
      <w:bookmarkStart w:id="9" w:name="_Toc396497635"/>
      <w:r>
        <w:rPr>
          <w:rFonts w:ascii="微软雅黑" w:hAnsi="微软雅黑" w:eastAsia="微软雅黑" w:cs="Times New Roman"/>
          <w:b/>
          <w:color w:val="auto"/>
          <w:sz w:val="28"/>
          <w:szCs w:val="28"/>
        </w:rPr>
        <w:t>（一）专业名称</w:t>
      </w:r>
      <w:bookmarkEnd w:id="5"/>
      <w:bookmarkEnd w:id="6"/>
      <w:bookmarkEnd w:id="7"/>
      <w:bookmarkEnd w:id="8"/>
      <w:bookmarkEnd w:id="9"/>
    </w:p>
    <w:p w14:paraId="6AFAC930">
      <w:pPr>
        <w:adjustRightInd w:val="0"/>
        <w:snapToGrid w:val="0"/>
        <w:ind w:firstLine="560" w:firstLineChars="200"/>
        <w:rPr>
          <w:rFonts w:ascii="宋体" w:hAnsi="宋体" w:eastAsia="宋体" w:cs="Times New Roman"/>
          <w:color w:val="000000"/>
          <w:sz w:val="28"/>
          <w:szCs w:val="28"/>
        </w:rPr>
      </w:pPr>
      <w:bookmarkStart w:id="10" w:name="_Toc393236439"/>
      <w:bookmarkStart w:id="11" w:name="_Toc396497636"/>
      <w:bookmarkStart w:id="12" w:name="_Toc396497528"/>
      <w:bookmarkStart w:id="13" w:name="_Toc396497326"/>
      <w:bookmarkStart w:id="14" w:name="_Toc396501702"/>
      <w:r>
        <w:rPr>
          <w:rFonts w:hint="eastAsia" w:ascii="宋体" w:hAnsi="宋体" w:eastAsia="宋体"/>
          <w:color w:val="000000"/>
          <w:sz w:val="28"/>
          <w:szCs w:val="28"/>
        </w:rPr>
        <w:t>工业机器人</w:t>
      </w:r>
      <w:r>
        <w:rPr>
          <w:rFonts w:ascii="宋体" w:hAnsi="宋体" w:eastAsia="宋体"/>
          <w:color w:val="000000"/>
          <w:sz w:val="28"/>
          <w:szCs w:val="28"/>
        </w:rPr>
        <w:t xml:space="preserve">技术专业   专业代码 </w:t>
      </w:r>
      <w:r>
        <w:rPr>
          <w:rFonts w:ascii="宋体" w:hAnsi="宋体" w:eastAsia="宋体" w:cs="Times New Roman"/>
          <w:color w:val="000000"/>
          <w:sz w:val="28"/>
          <w:szCs w:val="28"/>
        </w:rPr>
        <w:t>460305</w:t>
      </w:r>
    </w:p>
    <w:p w14:paraId="426EA1AF">
      <w:pPr>
        <w:pStyle w:val="2"/>
        <w:ind w:firstLine="549"/>
        <w:rPr>
          <w:rFonts w:ascii="微软雅黑" w:hAnsi="微软雅黑" w:eastAsia="微软雅黑" w:cs="Times New Roman"/>
          <w:b/>
          <w:color w:val="auto"/>
          <w:sz w:val="28"/>
          <w:szCs w:val="28"/>
        </w:rPr>
      </w:pPr>
      <w:r>
        <w:rPr>
          <w:rFonts w:hint="eastAsia" w:ascii="微软雅黑" w:hAnsi="微软雅黑" w:eastAsia="微软雅黑" w:cs="Times New Roman"/>
          <w:b/>
          <w:color w:val="auto"/>
          <w:sz w:val="28"/>
          <w:szCs w:val="28"/>
        </w:rPr>
        <w:t>（二）</w:t>
      </w:r>
      <w:bookmarkEnd w:id="10"/>
      <w:bookmarkEnd w:id="11"/>
      <w:bookmarkEnd w:id="12"/>
      <w:bookmarkEnd w:id="13"/>
      <w:bookmarkEnd w:id="14"/>
      <w:bookmarkStart w:id="15" w:name="_Toc396497640"/>
      <w:bookmarkStart w:id="16" w:name="_Toc396497330"/>
      <w:bookmarkStart w:id="17" w:name="_Toc396497532"/>
      <w:bookmarkStart w:id="18" w:name="_Toc393236443"/>
      <w:bookmarkStart w:id="19" w:name="_Toc396501706"/>
      <w:r>
        <w:rPr>
          <w:rFonts w:hint="eastAsia" w:ascii="微软雅黑" w:hAnsi="微软雅黑" w:eastAsia="微软雅黑" w:cs="Times New Roman"/>
          <w:b/>
          <w:color w:val="auto"/>
          <w:sz w:val="28"/>
          <w:szCs w:val="28"/>
        </w:rPr>
        <w:t>人才</w:t>
      </w:r>
      <w:r>
        <w:rPr>
          <w:rFonts w:ascii="微软雅黑" w:hAnsi="微软雅黑" w:eastAsia="微软雅黑" w:cs="Times New Roman"/>
          <w:b/>
          <w:color w:val="auto"/>
          <w:sz w:val="28"/>
          <w:szCs w:val="28"/>
        </w:rPr>
        <w:t>培养目标</w:t>
      </w:r>
      <w:bookmarkEnd w:id="15"/>
      <w:bookmarkEnd w:id="16"/>
      <w:bookmarkEnd w:id="17"/>
      <w:bookmarkEnd w:id="18"/>
      <w:bookmarkEnd w:id="19"/>
    </w:p>
    <w:p w14:paraId="7FDD3081">
      <w:pPr>
        <w:pStyle w:val="2"/>
        <w:spacing w:line="360" w:lineRule="auto"/>
        <w:ind w:firstLine="560" w:firstLineChars="200"/>
        <w:rPr>
          <w:rFonts w:cs="Times New Roman" w:asciiTheme="minorEastAsia" w:hAnsiTheme="minorEastAsia" w:eastAsiaTheme="minorEastAsia"/>
          <w:color w:val="auto"/>
          <w:sz w:val="28"/>
          <w:szCs w:val="28"/>
        </w:rPr>
      </w:pPr>
      <w:r>
        <w:rPr>
          <w:rFonts w:hint="eastAsia" w:cs="Times New Roman" w:asciiTheme="minorEastAsia" w:hAnsiTheme="minorEastAsia" w:eastAsiaTheme="minorEastAsia"/>
          <w:color w:val="auto"/>
          <w:sz w:val="28"/>
          <w:szCs w:val="28"/>
        </w:rPr>
        <w:t>工业机器人技术专业主要面向江苏省加工制造业及工业机器人生产企业，培养具备从事工业机器人组装与测试、操作编程、工业机器人销售与技术服务，运行维护及管理能力的，具有一定的文化水平、良好的职业道德和人文素养，能在生产、服务一线从事生产、建设、服务和管理等工作，具有职业生涯发展基础的应用型高素质技术技能人才。</w:t>
      </w:r>
    </w:p>
    <w:p w14:paraId="220782C5">
      <w:pPr>
        <w:pStyle w:val="2"/>
        <w:ind w:firstLine="549"/>
        <w:rPr>
          <w:rFonts w:ascii="微软雅黑" w:hAnsi="微软雅黑" w:eastAsia="微软雅黑" w:cs="Times New Roman"/>
          <w:b/>
          <w:color w:val="auto"/>
          <w:sz w:val="28"/>
          <w:szCs w:val="28"/>
        </w:rPr>
      </w:pPr>
      <w:bookmarkStart w:id="20" w:name="_Toc396497642"/>
      <w:bookmarkStart w:id="21" w:name="_Toc393236445"/>
      <w:bookmarkStart w:id="22" w:name="_Toc396497534"/>
      <w:bookmarkStart w:id="23" w:name="_Toc396497332"/>
      <w:bookmarkStart w:id="24" w:name="_Toc396501708"/>
      <w:r>
        <w:rPr>
          <w:rFonts w:ascii="微软雅黑" w:hAnsi="微软雅黑" w:eastAsia="微软雅黑" w:cs="Times New Roman"/>
          <w:b/>
          <w:color w:val="auto"/>
          <w:sz w:val="28"/>
          <w:szCs w:val="28"/>
        </w:rPr>
        <w:t>（</w:t>
      </w:r>
      <w:r>
        <w:rPr>
          <w:rFonts w:hint="eastAsia" w:ascii="微软雅黑" w:hAnsi="微软雅黑" w:eastAsia="微软雅黑" w:cs="Times New Roman"/>
          <w:b/>
          <w:color w:val="auto"/>
          <w:sz w:val="28"/>
          <w:szCs w:val="28"/>
        </w:rPr>
        <w:t>三）职业</w:t>
      </w:r>
      <w:bookmarkEnd w:id="20"/>
      <w:bookmarkEnd w:id="21"/>
      <w:bookmarkEnd w:id="22"/>
      <w:bookmarkEnd w:id="23"/>
      <w:bookmarkEnd w:id="24"/>
      <w:r>
        <w:rPr>
          <w:rFonts w:hint="eastAsia" w:ascii="微软雅黑" w:hAnsi="微软雅黑" w:eastAsia="微软雅黑" w:cs="Times New Roman"/>
          <w:b/>
          <w:color w:val="auto"/>
          <w:sz w:val="28"/>
          <w:szCs w:val="28"/>
        </w:rPr>
        <w:t>面向</w:t>
      </w:r>
    </w:p>
    <w:tbl>
      <w:tblPr>
        <w:tblStyle w:val="11"/>
        <w:tblW w:w="80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7"/>
        <w:gridCol w:w="1314"/>
        <w:gridCol w:w="1479"/>
        <w:gridCol w:w="1336"/>
        <w:gridCol w:w="756"/>
        <w:gridCol w:w="1696"/>
      </w:tblGrid>
      <w:tr w14:paraId="02055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457" w:type="dxa"/>
            <w:vMerge w:val="restart"/>
            <w:vAlign w:val="center"/>
          </w:tcPr>
          <w:p w14:paraId="11EA4EBE">
            <w:pPr>
              <w:adjustRightInd w:val="0"/>
              <w:snapToGrid w:val="0"/>
              <w:jc w:val="center"/>
              <w:textAlignment w:val="baseline"/>
              <w:rPr>
                <w:rFonts w:asciiTheme="minorEastAsia" w:hAnsiTheme="minorEastAsia"/>
                <w:b/>
                <w:bCs/>
                <w:szCs w:val="21"/>
              </w:rPr>
            </w:pPr>
            <w:r>
              <w:rPr>
                <w:rFonts w:hint="eastAsia" w:asciiTheme="minorEastAsia" w:hAnsiTheme="minorEastAsia"/>
                <w:b/>
                <w:bCs/>
                <w:szCs w:val="21"/>
              </w:rPr>
              <w:t>专业名称</w:t>
            </w:r>
          </w:p>
        </w:tc>
        <w:tc>
          <w:tcPr>
            <w:tcW w:w="1314" w:type="dxa"/>
            <w:vMerge w:val="restart"/>
            <w:vAlign w:val="center"/>
          </w:tcPr>
          <w:p w14:paraId="2A363A9B">
            <w:pPr>
              <w:adjustRightInd w:val="0"/>
              <w:snapToGrid w:val="0"/>
              <w:jc w:val="center"/>
              <w:textAlignment w:val="baseline"/>
              <w:rPr>
                <w:rFonts w:asciiTheme="minorEastAsia" w:hAnsiTheme="minorEastAsia"/>
                <w:b/>
                <w:bCs/>
                <w:szCs w:val="21"/>
              </w:rPr>
            </w:pPr>
            <w:r>
              <w:rPr>
                <w:rFonts w:hint="eastAsia" w:asciiTheme="minorEastAsia" w:hAnsiTheme="minorEastAsia"/>
                <w:b/>
                <w:bCs/>
                <w:szCs w:val="21"/>
              </w:rPr>
              <w:t>专业方向</w:t>
            </w:r>
          </w:p>
        </w:tc>
        <w:tc>
          <w:tcPr>
            <w:tcW w:w="1479" w:type="dxa"/>
            <w:vMerge w:val="restart"/>
            <w:vAlign w:val="center"/>
          </w:tcPr>
          <w:p w14:paraId="39CE0186">
            <w:pPr>
              <w:adjustRightInd w:val="0"/>
              <w:snapToGrid w:val="0"/>
              <w:jc w:val="center"/>
              <w:textAlignment w:val="baseline"/>
              <w:rPr>
                <w:rFonts w:asciiTheme="minorEastAsia" w:hAnsiTheme="minorEastAsia"/>
                <w:b/>
                <w:bCs/>
                <w:szCs w:val="21"/>
              </w:rPr>
            </w:pPr>
            <w:r>
              <w:rPr>
                <w:rFonts w:hint="eastAsia" w:asciiTheme="minorEastAsia" w:hAnsiTheme="minorEastAsia"/>
                <w:b/>
                <w:bCs/>
                <w:szCs w:val="21"/>
              </w:rPr>
              <w:t>职业岗位</w:t>
            </w:r>
          </w:p>
        </w:tc>
        <w:tc>
          <w:tcPr>
            <w:tcW w:w="3788" w:type="dxa"/>
            <w:gridSpan w:val="3"/>
            <w:vAlign w:val="center"/>
          </w:tcPr>
          <w:p w14:paraId="252981F5">
            <w:pPr>
              <w:adjustRightInd w:val="0"/>
              <w:snapToGrid w:val="0"/>
              <w:jc w:val="center"/>
              <w:textAlignment w:val="baseline"/>
              <w:rPr>
                <w:rFonts w:asciiTheme="minorEastAsia" w:hAnsiTheme="minorEastAsia"/>
                <w:b/>
                <w:bCs/>
                <w:szCs w:val="21"/>
              </w:rPr>
            </w:pPr>
            <w:r>
              <w:rPr>
                <w:rFonts w:hint="eastAsia" w:asciiTheme="minorEastAsia" w:hAnsiTheme="minorEastAsia"/>
                <w:b/>
                <w:bCs/>
                <w:szCs w:val="21"/>
              </w:rPr>
              <w:t>职业资格</w:t>
            </w:r>
          </w:p>
        </w:tc>
      </w:tr>
      <w:tr w14:paraId="187B3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457" w:type="dxa"/>
            <w:vMerge w:val="continue"/>
          </w:tcPr>
          <w:p w14:paraId="11F61A0E">
            <w:pPr>
              <w:adjustRightInd w:val="0"/>
              <w:snapToGrid w:val="0"/>
              <w:jc w:val="center"/>
              <w:textAlignment w:val="baseline"/>
              <w:rPr>
                <w:rFonts w:asciiTheme="minorEastAsia" w:hAnsiTheme="minorEastAsia"/>
                <w:b/>
                <w:bCs/>
                <w:szCs w:val="21"/>
              </w:rPr>
            </w:pPr>
          </w:p>
        </w:tc>
        <w:tc>
          <w:tcPr>
            <w:tcW w:w="1314" w:type="dxa"/>
            <w:vMerge w:val="continue"/>
            <w:vAlign w:val="center"/>
          </w:tcPr>
          <w:p w14:paraId="188B85DA">
            <w:pPr>
              <w:adjustRightInd w:val="0"/>
              <w:snapToGrid w:val="0"/>
              <w:jc w:val="center"/>
              <w:textAlignment w:val="baseline"/>
              <w:rPr>
                <w:rFonts w:asciiTheme="minorEastAsia" w:hAnsiTheme="minorEastAsia"/>
                <w:b/>
                <w:bCs/>
                <w:szCs w:val="21"/>
              </w:rPr>
            </w:pPr>
          </w:p>
        </w:tc>
        <w:tc>
          <w:tcPr>
            <w:tcW w:w="1479" w:type="dxa"/>
            <w:vMerge w:val="continue"/>
            <w:vAlign w:val="center"/>
          </w:tcPr>
          <w:p w14:paraId="5F1A9254">
            <w:pPr>
              <w:adjustRightInd w:val="0"/>
              <w:snapToGrid w:val="0"/>
              <w:jc w:val="center"/>
              <w:textAlignment w:val="baseline"/>
              <w:rPr>
                <w:rFonts w:asciiTheme="minorEastAsia" w:hAnsiTheme="minorEastAsia"/>
                <w:b/>
                <w:bCs/>
                <w:szCs w:val="21"/>
              </w:rPr>
            </w:pPr>
          </w:p>
        </w:tc>
        <w:tc>
          <w:tcPr>
            <w:tcW w:w="1336" w:type="dxa"/>
            <w:vAlign w:val="center"/>
          </w:tcPr>
          <w:p w14:paraId="4A1F238E">
            <w:pPr>
              <w:adjustRightInd w:val="0"/>
              <w:snapToGrid w:val="0"/>
              <w:jc w:val="center"/>
              <w:textAlignment w:val="baseline"/>
              <w:rPr>
                <w:rFonts w:asciiTheme="minorEastAsia" w:hAnsiTheme="minorEastAsia"/>
                <w:b/>
                <w:bCs/>
                <w:szCs w:val="21"/>
              </w:rPr>
            </w:pPr>
            <w:r>
              <w:rPr>
                <w:rFonts w:hint="eastAsia" w:asciiTheme="minorEastAsia" w:hAnsiTheme="minorEastAsia"/>
                <w:b/>
                <w:bCs/>
                <w:szCs w:val="21"/>
              </w:rPr>
              <w:t>证书名称</w:t>
            </w:r>
          </w:p>
        </w:tc>
        <w:tc>
          <w:tcPr>
            <w:tcW w:w="756" w:type="dxa"/>
            <w:vAlign w:val="center"/>
          </w:tcPr>
          <w:p w14:paraId="5C8BFAB8">
            <w:pPr>
              <w:adjustRightInd w:val="0"/>
              <w:snapToGrid w:val="0"/>
              <w:jc w:val="center"/>
              <w:textAlignment w:val="baseline"/>
              <w:rPr>
                <w:rFonts w:asciiTheme="minorEastAsia" w:hAnsiTheme="minorEastAsia"/>
                <w:b/>
                <w:bCs/>
                <w:szCs w:val="21"/>
              </w:rPr>
            </w:pPr>
            <w:r>
              <w:rPr>
                <w:rFonts w:hint="eastAsia" w:asciiTheme="minorEastAsia" w:hAnsiTheme="minorEastAsia"/>
                <w:b/>
                <w:bCs/>
                <w:szCs w:val="21"/>
              </w:rPr>
              <w:t>等级</w:t>
            </w:r>
          </w:p>
        </w:tc>
        <w:tc>
          <w:tcPr>
            <w:tcW w:w="1696" w:type="dxa"/>
            <w:vAlign w:val="center"/>
          </w:tcPr>
          <w:p w14:paraId="25527DBF">
            <w:pPr>
              <w:adjustRightInd w:val="0"/>
              <w:snapToGrid w:val="0"/>
              <w:jc w:val="center"/>
              <w:textAlignment w:val="baseline"/>
              <w:rPr>
                <w:rFonts w:asciiTheme="minorEastAsia" w:hAnsiTheme="minorEastAsia"/>
                <w:b/>
                <w:bCs/>
                <w:szCs w:val="21"/>
              </w:rPr>
            </w:pPr>
            <w:r>
              <w:rPr>
                <w:rFonts w:hint="eastAsia" w:asciiTheme="minorEastAsia" w:hAnsiTheme="minorEastAsia"/>
                <w:b/>
                <w:bCs/>
                <w:szCs w:val="21"/>
              </w:rPr>
              <w:t>颁证单位</w:t>
            </w:r>
          </w:p>
        </w:tc>
      </w:tr>
      <w:tr w14:paraId="0BE38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457" w:type="dxa"/>
            <w:vMerge w:val="restart"/>
            <w:vAlign w:val="center"/>
          </w:tcPr>
          <w:p w14:paraId="0D49A81B">
            <w:pPr>
              <w:adjustRightInd w:val="0"/>
              <w:snapToGrid w:val="0"/>
              <w:jc w:val="center"/>
              <w:textAlignment w:val="baseline"/>
              <w:rPr>
                <w:rFonts w:asciiTheme="minorEastAsia" w:hAnsiTheme="minorEastAsia"/>
                <w:szCs w:val="21"/>
              </w:rPr>
            </w:pPr>
            <w:r>
              <w:rPr>
                <w:rFonts w:hint="eastAsia" w:asciiTheme="minorEastAsia" w:hAnsiTheme="minorEastAsia"/>
                <w:szCs w:val="21"/>
              </w:rPr>
              <w:t>工业机器人技术</w:t>
            </w:r>
          </w:p>
        </w:tc>
        <w:tc>
          <w:tcPr>
            <w:tcW w:w="1314" w:type="dxa"/>
            <w:vMerge w:val="restart"/>
            <w:vAlign w:val="center"/>
          </w:tcPr>
          <w:p w14:paraId="45F7B456">
            <w:pPr>
              <w:adjustRightInd w:val="0"/>
              <w:snapToGrid w:val="0"/>
              <w:jc w:val="center"/>
              <w:textAlignment w:val="baseline"/>
              <w:rPr>
                <w:rFonts w:asciiTheme="minorEastAsia" w:hAnsiTheme="minorEastAsia"/>
                <w:szCs w:val="21"/>
              </w:rPr>
            </w:pPr>
            <w:r>
              <w:rPr>
                <w:rFonts w:hint="eastAsia" w:asciiTheme="minorEastAsia" w:hAnsiTheme="minorEastAsia"/>
                <w:szCs w:val="21"/>
              </w:rPr>
              <w:t>工业机器人操作与维护</w:t>
            </w:r>
          </w:p>
        </w:tc>
        <w:tc>
          <w:tcPr>
            <w:tcW w:w="1479" w:type="dxa"/>
            <w:vAlign w:val="center"/>
          </w:tcPr>
          <w:p w14:paraId="26146254">
            <w:pPr>
              <w:adjustRightInd w:val="0"/>
              <w:snapToGrid w:val="0"/>
              <w:jc w:val="center"/>
              <w:textAlignment w:val="baseline"/>
              <w:rPr>
                <w:szCs w:val="21"/>
              </w:rPr>
            </w:pPr>
            <w:r>
              <w:rPr>
                <w:rFonts w:hint="eastAsia"/>
                <w:szCs w:val="21"/>
              </w:rPr>
              <w:t>操控技术员</w:t>
            </w:r>
          </w:p>
        </w:tc>
        <w:tc>
          <w:tcPr>
            <w:tcW w:w="1336" w:type="dxa"/>
            <w:vMerge w:val="restart"/>
            <w:vAlign w:val="center"/>
          </w:tcPr>
          <w:p w14:paraId="0E71F219">
            <w:pPr>
              <w:adjustRightInd w:val="0"/>
              <w:snapToGrid w:val="0"/>
              <w:jc w:val="center"/>
              <w:textAlignment w:val="baseline"/>
              <w:rPr>
                <w:rFonts w:asciiTheme="minorEastAsia" w:hAnsiTheme="minorEastAsia"/>
                <w:szCs w:val="21"/>
              </w:rPr>
            </w:pPr>
            <w:r>
              <w:rPr>
                <w:rFonts w:hint="eastAsia" w:asciiTheme="minorEastAsia" w:hAnsiTheme="minorEastAsia"/>
                <w:szCs w:val="21"/>
              </w:rPr>
              <w:t>维修电工证</w:t>
            </w:r>
          </w:p>
        </w:tc>
        <w:tc>
          <w:tcPr>
            <w:tcW w:w="756" w:type="dxa"/>
            <w:vMerge w:val="restart"/>
            <w:vAlign w:val="center"/>
          </w:tcPr>
          <w:p w14:paraId="613F9B2F">
            <w:pPr>
              <w:adjustRightInd w:val="0"/>
              <w:snapToGrid w:val="0"/>
              <w:jc w:val="center"/>
              <w:textAlignment w:val="baseline"/>
              <w:rPr>
                <w:rFonts w:asciiTheme="minorEastAsia" w:hAnsiTheme="minorEastAsia"/>
                <w:szCs w:val="21"/>
              </w:rPr>
            </w:pPr>
            <w:r>
              <w:rPr>
                <w:rFonts w:hint="eastAsia" w:asciiTheme="minorEastAsia" w:hAnsiTheme="minorEastAsia"/>
                <w:szCs w:val="21"/>
              </w:rPr>
              <w:t>中级</w:t>
            </w:r>
          </w:p>
        </w:tc>
        <w:tc>
          <w:tcPr>
            <w:tcW w:w="1696" w:type="dxa"/>
            <w:vMerge w:val="restart"/>
            <w:vAlign w:val="center"/>
          </w:tcPr>
          <w:p w14:paraId="5C835D74">
            <w:pPr>
              <w:adjustRightInd w:val="0"/>
              <w:snapToGrid w:val="0"/>
              <w:jc w:val="center"/>
              <w:textAlignment w:val="baseline"/>
              <w:rPr>
                <w:rFonts w:asciiTheme="minorEastAsia" w:hAnsiTheme="minorEastAsia"/>
                <w:szCs w:val="21"/>
              </w:rPr>
            </w:pPr>
            <w:r>
              <w:rPr>
                <w:rFonts w:hint="eastAsia" w:asciiTheme="minorEastAsia" w:hAnsiTheme="minorEastAsia"/>
                <w:szCs w:val="21"/>
              </w:rPr>
              <w:t>中华人民共和国劳动与社会保障部</w:t>
            </w:r>
          </w:p>
        </w:tc>
      </w:tr>
      <w:tr w14:paraId="40043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trPr>
        <w:tc>
          <w:tcPr>
            <w:tcW w:w="1457" w:type="dxa"/>
            <w:vMerge w:val="continue"/>
            <w:vAlign w:val="center"/>
          </w:tcPr>
          <w:p w14:paraId="21A5E997">
            <w:pPr>
              <w:adjustRightInd w:val="0"/>
              <w:snapToGrid w:val="0"/>
              <w:jc w:val="center"/>
              <w:textAlignment w:val="baseline"/>
            </w:pPr>
          </w:p>
        </w:tc>
        <w:tc>
          <w:tcPr>
            <w:tcW w:w="1314" w:type="dxa"/>
            <w:vMerge w:val="continue"/>
            <w:vAlign w:val="center"/>
          </w:tcPr>
          <w:p w14:paraId="49ABC72E">
            <w:pPr>
              <w:adjustRightInd w:val="0"/>
              <w:snapToGrid w:val="0"/>
              <w:jc w:val="center"/>
              <w:textAlignment w:val="baseline"/>
            </w:pPr>
          </w:p>
        </w:tc>
        <w:tc>
          <w:tcPr>
            <w:tcW w:w="1479" w:type="dxa"/>
            <w:vAlign w:val="center"/>
          </w:tcPr>
          <w:p w14:paraId="22B94DC1">
            <w:pPr>
              <w:adjustRightInd w:val="0"/>
              <w:snapToGrid w:val="0"/>
              <w:jc w:val="center"/>
              <w:textAlignment w:val="baseline"/>
              <w:rPr>
                <w:szCs w:val="21"/>
              </w:rPr>
            </w:pPr>
            <w:r>
              <w:rPr>
                <w:rFonts w:hint="eastAsia" w:ascii="宋体" w:hAnsi="宋体"/>
                <w:szCs w:val="21"/>
              </w:rPr>
              <w:t>安装调试员</w:t>
            </w:r>
          </w:p>
        </w:tc>
        <w:tc>
          <w:tcPr>
            <w:tcW w:w="1336" w:type="dxa"/>
            <w:vMerge w:val="continue"/>
            <w:vAlign w:val="center"/>
          </w:tcPr>
          <w:p w14:paraId="4280E089">
            <w:pPr>
              <w:adjustRightInd w:val="0"/>
              <w:snapToGrid w:val="0"/>
              <w:jc w:val="center"/>
              <w:textAlignment w:val="baseline"/>
              <w:rPr>
                <w:szCs w:val="21"/>
              </w:rPr>
            </w:pPr>
          </w:p>
        </w:tc>
        <w:tc>
          <w:tcPr>
            <w:tcW w:w="756" w:type="dxa"/>
            <w:vMerge w:val="continue"/>
            <w:vAlign w:val="center"/>
          </w:tcPr>
          <w:p w14:paraId="1F5E8D19">
            <w:pPr>
              <w:adjustRightInd w:val="0"/>
              <w:snapToGrid w:val="0"/>
              <w:jc w:val="center"/>
              <w:textAlignment w:val="baseline"/>
              <w:rPr>
                <w:szCs w:val="21"/>
              </w:rPr>
            </w:pPr>
          </w:p>
        </w:tc>
        <w:tc>
          <w:tcPr>
            <w:tcW w:w="1696" w:type="dxa"/>
            <w:vMerge w:val="continue"/>
            <w:vAlign w:val="center"/>
          </w:tcPr>
          <w:p w14:paraId="72B28152">
            <w:pPr>
              <w:adjustRightInd w:val="0"/>
              <w:snapToGrid w:val="0"/>
              <w:jc w:val="center"/>
              <w:textAlignment w:val="baseline"/>
              <w:rPr>
                <w:szCs w:val="21"/>
              </w:rPr>
            </w:pPr>
          </w:p>
        </w:tc>
      </w:tr>
      <w:tr w14:paraId="46D6C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457" w:type="dxa"/>
            <w:vMerge w:val="continue"/>
            <w:vAlign w:val="center"/>
          </w:tcPr>
          <w:p w14:paraId="6AB84FEC">
            <w:pPr>
              <w:adjustRightInd w:val="0"/>
              <w:snapToGrid w:val="0"/>
              <w:jc w:val="center"/>
              <w:textAlignment w:val="baseline"/>
              <w:rPr>
                <w:szCs w:val="21"/>
              </w:rPr>
            </w:pPr>
          </w:p>
        </w:tc>
        <w:tc>
          <w:tcPr>
            <w:tcW w:w="1314" w:type="dxa"/>
            <w:vMerge w:val="continue"/>
            <w:vAlign w:val="center"/>
          </w:tcPr>
          <w:p w14:paraId="4B2DC782">
            <w:pPr>
              <w:adjustRightInd w:val="0"/>
              <w:snapToGrid w:val="0"/>
              <w:jc w:val="center"/>
              <w:textAlignment w:val="baseline"/>
              <w:rPr>
                <w:szCs w:val="21"/>
              </w:rPr>
            </w:pPr>
          </w:p>
        </w:tc>
        <w:tc>
          <w:tcPr>
            <w:tcW w:w="1479" w:type="dxa"/>
            <w:vAlign w:val="center"/>
          </w:tcPr>
          <w:p w14:paraId="47C93F51">
            <w:pPr>
              <w:adjustRightInd w:val="0"/>
              <w:snapToGrid w:val="0"/>
              <w:jc w:val="center"/>
              <w:textAlignment w:val="baseline"/>
              <w:rPr>
                <w:szCs w:val="21"/>
              </w:rPr>
            </w:pPr>
            <w:r>
              <w:rPr>
                <w:rFonts w:hint="eastAsia"/>
                <w:szCs w:val="21"/>
              </w:rPr>
              <w:t>编程调试员</w:t>
            </w:r>
          </w:p>
        </w:tc>
        <w:tc>
          <w:tcPr>
            <w:tcW w:w="1336" w:type="dxa"/>
            <w:vMerge w:val="restart"/>
            <w:vAlign w:val="center"/>
          </w:tcPr>
          <w:p w14:paraId="2F97C36A">
            <w:pPr>
              <w:adjustRightInd w:val="0"/>
              <w:snapToGrid w:val="0"/>
              <w:jc w:val="center"/>
              <w:textAlignment w:val="baseline"/>
              <w:rPr>
                <w:szCs w:val="21"/>
              </w:rPr>
            </w:pPr>
            <w:r>
              <w:rPr>
                <w:rFonts w:hint="eastAsia"/>
                <w:szCs w:val="21"/>
              </w:rPr>
              <w:t>工业机器人操作与运维证书</w:t>
            </w:r>
          </w:p>
        </w:tc>
        <w:tc>
          <w:tcPr>
            <w:tcW w:w="756" w:type="dxa"/>
            <w:vMerge w:val="continue"/>
            <w:vAlign w:val="center"/>
          </w:tcPr>
          <w:p w14:paraId="1B7DD18D">
            <w:pPr>
              <w:adjustRightInd w:val="0"/>
              <w:snapToGrid w:val="0"/>
              <w:jc w:val="center"/>
              <w:textAlignment w:val="baseline"/>
              <w:rPr>
                <w:szCs w:val="21"/>
              </w:rPr>
            </w:pPr>
          </w:p>
        </w:tc>
        <w:tc>
          <w:tcPr>
            <w:tcW w:w="1696" w:type="dxa"/>
            <w:vMerge w:val="restart"/>
            <w:vAlign w:val="center"/>
          </w:tcPr>
          <w:p w14:paraId="7738FAB4">
            <w:pPr>
              <w:adjustRightInd w:val="0"/>
              <w:snapToGrid w:val="0"/>
              <w:jc w:val="center"/>
              <w:textAlignment w:val="baseline"/>
              <w:rPr>
                <w:szCs w:val="21"/>
              </w:rPr>
            </w:pPr>
            <w:r>
              <w:rPr>
                <w:rFonts w:hint="eastAsia"/>
                <w:szCs w:val="21"/>
              </w:rPr>
              <w:t>中华人民共和国工业和信息化部</w:t>
            </w:r>
          </w:p>
        </w:tc>
      </w:tr>
      <w:tr w14:paraId="07E80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457" w:type="dxa"/>
            <w:vMerge w:val="continue"/>
            <w:vAlign w:val="center"/>
          </w:tcPr>
          <w:p w14:paraId="71B7916D">
            <w:pPr>
              <w:adjustRightInd w:val="0"/>
              <w:snapToGrid w:val="0"/>
              <w:jc w:val="center"/>
              <w:textAlignment w:val="baseline"/>
              <w:rPr>
                <w:szCs w:val="21"/>
              </w:rPr>
            </w:pPr>
          </w:p>
        </w:tc>
        <w:tc>
          <w:tcPr>
            <w:tcW w:w="1314" w:type="dxa"/>
            <w:vMerge w:val="continue"/>
            <w:vAlign w:val="center"/>
          </w:tcPr>
          <w:p w14:paraId="33121773">
            <w:pPr>
              <w:adjustRightInd w:val="0"/>
              <w:snapToGrid w:val="0"/>
              <w:jc w:val="center"/>
              <w:textAlignment w:val="baseline"/>
              <w:rPr>
                <w:szCs w:val="21"/>
              </w:rPr>
            </w:pPr>
          </w:p>
        </w:tc>
        <w:tc>
          <w:tcPr>
            <w:tcW w:w="1479" w:type="dxa"/>
            <w:vAlign w:val="center"/>
          </w:tcPr>
          <w:p w14:paraId="16F90006">
            <w:pPr>
              <w:adjustRightInd w:val="0"/>
              <w:snapToGrid w:val="0"/>
              <w:jc w:val="center"/>
              <w:textAlignment w:val="baseline"/>
              <w:rPr>
                <w:szCs w:val="21"/>
              </w:rPr>
            </w:pPr>
            <w:r>
              <w:rPr>
                <w:rFonts w:hint="eastAsia"/>
                <w:szCs w:val="21"/>
              </w:rPr>
              <w:t>系统维修员</w:t>
            </w:r>
          </w:p>
        </w:tc>
        <w:tc>
          <w:tcPr>
            <w:tcW w:w="1336" w:type="dxa"/>
            <w:vMerge w:val="continue"/>
            <w:vAlign w:val="center"/>
          </w:tcPr>
          <w:p w14:paraId="3437CBD3">
            <w:pPr>
              <w:adjustRightInd w:val="0"/>
              <w:snapToGrid w:val="0"/>
              <w:jc w:val="center"/>
              <w:textAlignment w:val="baseline"/>
              <w:rPr>
                <w:szCs w:val="21"/>
              </w:rPr>
            </w:pPr>
          </w:p>
        </w:tc>
        <w:tc>
          <w:tcPr>
            <w:tcW w:w="756" w:type="dxa"/>
            <w:vMerge w:val="continue"/>
            <w:vAlign w:val="center"/>
          </w:tcPr>
          <w:p w14:paraId="0DB7ACCE">
            <w:pPr>
              <w:adjustRightInd w:val="0"/>
              <w:snapToGrid w:val="0"/>
              <w:jc w:val="center"/>
              <w:textAlignment w:val="baseline"/>
              <w:rPr>
                <w:szCs w:val="21"/>
              </w:rPr>
            </w:pPr>
          </w:p>
        </w:tc>
        <w:tc>
          <w:tcPr>
            <w:tcW w:w="1696" w:type="dxa"/>
            <w:vMerge w:val="continue"/>
            <w:vAlign w:val="center"/>
          </w:tcPr>
          <w:p w14:paraId="59200F26">
            <w:pPr>
              <w:adjustRightInd w:val="0"/>
              <w:snapToGrid w:val="0"/>
              <w:jc w:val="center"/>
              <w:textAlignment w:val="baseline"/>
              <w:rPr>
                <w:szCs w:val="21"/>
              </w:rPr>
            </w:pPr>
          </w:p>
        </w:tc>
      </w:tr>
      <w:tr w14:paraId="3A8EF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1" w:hRule="atLeast"/>
        </w:trPr>
        <w:tc>
          <w:tcPr>
            <w:tcW w:w="1457" w:type="dxa"/>
            <w:vMerge w:val="continue"/>
          </w:tcPr>
          <w:p w14:paraId="5B46415D">
            <w:pPr>
              <w:adjustRightInd w:val="0"/>
              <w:snapToGrid w:val="0"/>
              <w:jc w:val="center"/>
              <w:textAlignment w:val="baseline"/>
              <w:rPr>
                <w:rFonts w:asciiTheme="minorEastAsia" w:hAnsiTheme="minorEastAsia"/>
                <w:szCs w:val="21"/>
              </w:rPr>
            </w:pPr>
          </w:p>
        </w:tc>
        <w:tc>
          <w:tcPr>
            <w:tcW w:w="1314" w:type="dxa"/>
            <w:vMerge w:val="restart"/>
            <w:vAlign w:val="center"/>
          </w:tcPr>
          <w:p w14:paraId="56C5F1C2">
            <w:pPr>
              <w:adjustRightInd w:val="0"/>
              <w:snapToGrid w:val="0"/>
              <w:jc w:val="center"/>
              <w:textAlignment w:val="baseline"/>
              <w:rPr>
                <w:rFonts w:asciiTheme="minorEastAsia" w:hAnsiTheme="minorEastAsia"/>
                <w:szCs w:val="21"/>
              </w:rPr>
            </w:pPr>
            <w:r>
              <w:rPr>
                <w:rFonts w:hint="eastAsia" w:asciiTheme="minorEastAsia" w:hAnsiTheme="minorEastAsia"/>
                <w:szCs w:val="21"/>
              </w:rPr>
              <w:t>工业机器人技术服务与营销</w:t>
            </w:r>
          </w:p>
        </w:tc>
        <w:tc>
          <w:tcPr>
            <w:tcW w:w="1479" w:type="dxa"/>
            <w:vAlign w:val="center"/>
          </w:tcPr>
          <w:p w14:paraId="4D6BFFDA">
            <w:pPr>
              <w:adjustRightInd w:val="0"/>
              <w:snapToGrid w:val="0"/>
              <w:jc w:val="center"/>
              <w:textAlignment w:val="baseline"/>
              <w:rPr>
                <w:szCs w:val="21"/>
              </w:rPr>
            </w:pPr>
            <w:r>
              <w:rPr>
                <w:rFonts w:hint="eastAsia" w:ascii="宋体" w:hAnsi="宋体"/>
                <w:szCs w:val="21"/>
              </w:rPr>
              <w:t>安装调试员</w:t>
            </w:r>
          </w:p>
        </w:tc>
        <w:tc>
          <w:tcPr>
            <w:tcW w:w="1336" w:type="dxa"/>
            <w:vAlign w:val="center"/>
          </w:tcPr>
          <w:p w14:paraId="6D07F0ED">
            <w:pPr>
              <w:adjustRightInd w:val="0"/>
              <w:snapToGrid w:val="0"/>
              <w:jc w:val="center"/>
              <w:textAlignment w:val="baseline"/>
              <w:rPr>
                <w:rFonts w:asciiTheme="minorEastAsia" w:hAnsiTheme="minorEastAsia"/>
                <w:szCs w:val="21"/>
              </w:rPr>
            </w:pPr>
            <w:r>
              <w:rPr>
                <w:rFonts w:hint="eastAsia" w:asciiTheme="minorEastAsia" w:hAnsiTheme="minorEastAsia"/>
                <w:szCs w:val="21"/>
              </w:rPr>
              <w:t>维修电工证</w:t>
            </w:r>
          </w:p>
        </w:tc>
        <w:tc>
          <w:tcPr>
            <w:tcW w:w="756" w:type="dxa"/>
            <w:vMerge w:val="restart"/>
            <w:vAlign w:val="center"/>
          </w:tcPr>
          <w:p w14:paraId="01620966">
            <w:pPr>
              <w:adjustRightInd w:val="0"/>
              <w:snapToGrid w:val="0"/>
              <w:jc w:val="center"/>
              <w:textAlignment w:val="baseline"/>
              <w:rPr>
                <w:rFonts w:asciiTheme="minorEastAsia" w:hAnsiTheme="minorEastAsia"/>
                <w:szCs w:val="21"/>
              </w:rPr>
            </w:pPr>
            <w:r>
              <w:rPr>
                <w:rFonts w:hint="eastAsia" w:asciiTheme="minorEastAsia" w:hAnsiTheme="minorEastAsia"/>
                <w:szCs w:val="21"/>
              </w:rPr>
              <w:t>中级</w:t>
            </w:r>
          </w:p>
        </w:tc>
        <w:tc>
          <w:tcPr>
            <w:tcW w:w="1696" w:type="dxa"/>
            <w:vAlign w:val="center"/>
          </w:tcPr>
          <w:p w14:paraId="6977CD51">
            <w:pPr>
              <w:adjustRightInd w:val="0"/>
              <w:snapToGrid w:val="0"/>
              <w:jc w:val="center"/>
              <w:textAlignment w:val="baseline"/>
              <w:rPr>
                <w:rFonts w:asciiTheme="minorEastAsia" w:hAnsiTheme="minorEastAsia"/>
                <w:szCs w:val="21"/>
              </w:rPr>
            </w:pPr>
            <w:r>
              <w:rPr>
                <w:rFonts w:hint="eastAsia" w:asciiTheme="minorEastAsia" w:hAnsiTheme="minorEastAsia"/>
                <w:szCs w:val="21"/>
              </w:rPr>
              <w:t>中华人民共和国劳动与社会保障部</w:t>
            </w:r>
          </w:p>
        </w:tc>
      </w:tr>
      <w:tr w14:paraId="11F95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457" w:type="dxa"/>
            <w:vMerge w:val="continue"/>
          </w:tcPr>
          <w:p w14:paraId="2A479B20">
            <w:pPr>
              <w:adjustRightInd w:val="0"/>
              <w:snapToGrid w:val="0"/>
              <w:jc w:val="center"/>
              <w:textAlignment w:val="baseline"/>
            </w:pPr>
          </w:p>
        </w:tc>
        <w:tc>
          <w:tcPr>
            <w:tcW w:w="1314" w:type="dxa"/>
            <w:vMerge w:val="continue"/>
            <w:vAlign w:val="center"/>
          </w:tcPr>
          <w:p w14:paraId="6E46D0EE">
            <w:pPr>
              <w:adjustRightInd w:val="0"/>
              <w:snapToGrid w:val="0"/>
              <w:jc w:val="center"/>
              <w:textAlignment w:val="baseline"/>
            </w:pPr>
          </w:p>
        </w:tc>
        <w:tc>
          <w:tcPr>
            <w:tcW w:w="1479" w:type="dxa"/>
            <w:vAlign w:val="center"/>
          </w:tcPr>
          <w:p w14:paraId="01FB36D2">
            <w:pPr>
              <w:adjustRightInd w:val="0"/>
              <w:snapToGrid w:val="0"/>
              <w:jc w:val="center"/>
              <w:textAlignment w:val="baseline"/>
              <w:rPr>
                <w:szCs w:val="21"/>
              </w:rPr>
            </w:pPr>
            <w:r>
              <w:rPr>
                <w:rFonts w:hint="eastAsia"/>
                <w:szCs w:val="21"/>
              </w:rPr>
              <w:t>系统维修员</w:t>
            </w:r>
          </w:p>
        </w:tc>
        <w:tc>
          <w:tcPr>
            <w:tcW w:w="1336" w:type="dxa"/>
            <w:vMerge w:val="restart"/>
            <w:vAlign w:val="center"/>
          </w:tcPr>
          <w:p w14:paraId="2C5F01AA">
            <w:pPr>
              <w:adjustRightInd w:val="0"/>
              <w:snapToGrid w:val="0"/>
              <w:jc w:val="center"/>
              <w:textAlignment w:val="baseline"/>
              <w:rPr>
                <w:szCs w:val="21"/>
              </w:rPr>
            </w:pPr>
            <w:r>
              <w:rPr>
                <w:rFonts w:hint="eastAsia"/>
                <w:szCs w:val="21"/>
              </w:rPr>
              <w:t>工业机器人操作与运维证书</w:t>
            </w:r>
          </w:p>
        </w:tc>
        <w:tc>
          <w:tcPr>
            <w:tcW w:w="756" w:type="dxa"/>
            <w:vMerge w:val="continue"/>
            <w:vAlign w:val="center"/>
          </w:tcPr>
          <w:p w14:paraId="5FCF1435">
            <w:pPr>
              <w:adjustRightInd w:val="0"/>
              <w:snapToGrid w:val="0"/>
              <w:jc w:val="center"/>
              <w:textAlignment w:val="baseline"/>
              <w:rPr>
                <w:szCs w:val="21"/>
              </w:rPr>
            </w:pPr>
          </w:p>
        </w:tc>
        <w:tc>
          <w:tcPr>
            <w:tcW w:w="1696" w:type="dxa"/>
            <w:vMerge w:val="restart"/>
            <w:vAlign w:val="center"/>
          </w:tcPr>
          <w:p w14:paraId="5CAD8B32">
            <w:pPr>
              <w:adjustRightInd w:val="0"/>
              <w:snapToGrid w:val="0"/>
              <w:jc w:val="center"/>
              <w:textAlignment w:val="baseline"/>
              <w:rPr>
                <w:szCs w:val="21"/>
              </w:rPr>
            </w:pPr>
            <w:r>
              <w:rPr>
                <w:rFonts w:hint="eastAsia"/>
                <w:szCs w:val="21"/>
              </w:rPr>
              <w:t>中华人民共和国工业和信息化部</w:t>
            </w:r>
          </w:p>
        </w:tc>
      </w:tr>
      <w:tr w14:paraId="42E36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trPr>
        <w:tc>
          <w:tcPr>
            <w:tcW w:w="1457" w:type="dxa"/>
            <w:vMerge w:val="continue"/>
          </w:tcPr>
          <w:p w14:paraId="709076D2">
            <w:pPr>
              <w:adjustRightInd w:val="0"/>
              <w:spacing w:line="360" w:lineRule="auto"/>
              <w:jc w:val="center"/>
              <w:textAlignment w:val="baseline"/>
              <w:rPr>
                <w:szCs w:val="21"/>
              </w:rPr>
            </w:pPr>
          </w:p>
        </w:tc>
        <w:tc>
          <w:tcPr>
            <w:tcW w:w="1314" w:type="dxa"/>
            <w:vMerge w:val="continue"/>
            <w:vAlign w:val="center"/>
          </w:tcPr>
          <w:p w14:paraId="7AC8E067">
            <w:pPr>
              <w:adjustRightInd w:val="0"/>
              <w:spacing w:line="360" w:lineRule="auto"/>
              <w:jc w:val="center"/>
              <w:textAlignment w:val="baseline"/>
              <w:rPr>
                <w:szCs w:val="21"/>
              </w:rPr>
            </w:pPr>
          </w:p>
        </w:tc>
        <w:tc>
          <w:tcPr>
            <w:tcW w:w="1479" w:type="dxa"/>
            <w:vAlign w:val="center"/>
          </w:tcPr>
          <w:p w14:paraId="49F7CEF5">
            <w:pPr>
              <w:adjustRightInd w:val="0"/>
              <w:spacing w:line="360" w:lineRule="auto"/>
              <w:jc w:val="center"/>
              <w:textAlignment w:val="baseline"/>
              <w:rPr>
                <w:szCs w:val="21"/>
              </w:rPr>
            </w:pPr>
            <w:r>
              <w:rPr>
                <w:rFonts w:hint="eastAsia"/>
                <w:szCs w:val="21"/>
              </w:rPr>
              <w:t>工业机器人销售</w:t>
            </w:r>
          </w:p>
        </w:tc>
        <w:tc>
          <w:tcPr>
            <w:tcW w:w="1336" w:type="dxa"/>
            <w:vMerge w:val="continue"/>
            <w:vAlign w:val="center"/>
          </w:tcPr>
          <w:p w14:paraId="67165536">
            <w:pPr>
              <w:adjustRightInd w:val="0"/>
              <w:spacing w:line="360" w:lineRule="auto"/>
              <w:jc w:val="center"/>
              <w:textAlignment w:val="baseline"/>
              <w:rPr>
                <w:szCs w:val="21"/>
              </w:rPr>
            </w:pPr>
          </w:p>
        </w:tc>
        <w:tc>
          <w:tcPr>
            <w:tcW w:w="756" w:type="dxa"/>
            <w:vMerge w:val="continue"/>
            <w:vAlign w:val="center"/>
          </w:tcPr>
          <w:p w14:paraId="6C12EFD9">
            <w:pPr>
              <w:adjustRightInd w:val="0"/>
              <w:spacing w:line="360" w:lineRule="auto"/>
              <w:jc w:val="center"/>
              <w:textAlignment w:val="baseline"/>
              <w:rPr>
                <w:szCs w:val="21"/>
              </w:rPr>
            </w:pPr>
          </w:p>
        </w:tc>
        <w:tc>
          <w:tcPr>
            <w:tcW w:w="1696" w:type="dxa"/>
            <w:vMerge w:val="continue"/>
            <w:vAlign w:val="center"/>
          </w:tcPr>
          <w:p w14:paraId="72F4A5A5">
            <w:pPr>
              <w:adjustRightInd w:val="0"/>
              <w:spacing w:line="360" w:lineRule="auto"/>
              <w:jc w:val="center"/>
              <w:textAlignment w:val="baseline"/>
              <w:rPr>
                <w:szCs w:val="21"/>
              </w:rPr>
            </w:pPr>
          </w:p>
        </w:tc>
      </w:tr>
    </w:tbl>
    <w:p w14:paraId="724DDAAB">
      <w:pPr>
        <w:pStyle w:val="2"/>
        <w:ind w:firstLine="549"/>
        <w:rPr>
          <w:rFonts w:ascii="微软雅黑" w:hAnsi="微软雅黑" w:eastAsia="微软雅黑" w:cs="Times New Roman"/>
          <w:b/>
          <w:color w:val="auto"/>
          <w:sz w:val="28"/>
          <w:szCs w:val="28"/>
        </w:rPr>
      </w:pPr>
      <w:r>
        <w:rPr>
          <w:rFonts w:hint="eastAsia" w:ascii="微软雅黑" w:hAnsi="微软雅黑" w:eastAsia="微软雅黑" w:cs="Times New Roman"/>
          <w:b/>
          <w:color w:val="auto"/>
          <w:sz w:val="28"/>
          <w:szCs w:val="28"/>
        </w:rPr>
        <w:t>（四）专业核心课程</w:t>
      </w:r>
    </w:p>
    <w:p w14:paraId="5ECD7C62">
      <w:pPr>
        <w:widowControl/>
        <w:ind w:firstLine="560" w:firstLineChars="200"/>
        <w:textAlignment w:val="center"/>
        <w:rPr>
          <w:rFonts w:ascii="宋体" w:hAnsi="宋体" w:eastAsia="宋体"/>
          <w:sz w:val="28"/>
          <w:szCs w:val="28"/>
        </w:rPr>
      </w:pPr>
      <w:r>
        <w:rPr>
          <w:rFonts w:hint="eastAsia" w:ascii="宋体" w:hAnsi="宋体" w:eastAsia="宋体"/>
          <w:sz w:val="28"/>
          <w:szCs w:val="28"/>
        </w:rPr>
        <w:t>PLC应用技术、工业机器人认知、工业机器人三维建模、工业机器人</w:t>
      </w:r>
      <w:r>
        <w:rPr>
          <w:rFonts w:hint="eastAsia" w:ascii="宋体" w:hAnsi="宋体" w:eastAsia="宋体"/>
          <w:sz w:val="28"/>
          <w:szCs w:val="28"/>
          <w:lang w:val="en-US" w:eastAsia="zh-CN"/>
        </w:rPr>
        <w:t>离线系统设计</w:t>
      </w:r>
      <w:r>
        <w:rPr>
          <w:rFonts w:hint="eastAsia" w:ascii="宋体" w:hAnsi="宋体" w:eastAsia="宋体"/>
          <w:sz w:val="28"/>
          <w:szCs w:val="28"/>
        </w:rPr>
        <w:t>、工业机器人</w:t>
      </w:r>
      <w:r>
        <w:rPr>
          <w:rFonts w:hint="eastAsia" w:ascii="宋体" w:hAnsi="宋体" w:eastAsia="宋体"/>
          <w:sz w:val="28"/>
          <w:szCs w:val="28"/>
          <w:lang w:val="en-US" w:eastAsia="zh-CN"/>
        </w:rPr>
        <w:t>综合实训</w:t>
      </w:r>
      <w:r>
        <w:rPr>
          <w:rFonts w:hint="eastAsia" w:ascii="宋体" w:hAnsi="宋体" w:eastAsia="宋体"/>
          <w:sz w:val="28"/>
          <w:szCs w:val="28"/>
        </w:rPr>
        <w:t>、自动化生产线、工业机器人故障诊断等。</w:t>
      </w:r>
    </w:p>
    <w:p w14:paraId="4B85DC5F">
      <w:pPr>
        <w:pStyle w:val="2"/>
        <w:ind w:firstLine="549"/>
        <w:rPr>
          <w:rFonts w:ascii="微软雅黑" w:hAnsi="微软雅黑" w:eastAsia="微软雅黑" w:cs="Times New Roman"/>
          <w:b/>
          <w:color w:val="auto"/>
          <w:sz w:val="28"/>
          <w:szCs w:val="28"/>
        </w:rPr>
      </w:pPr>
      <w:r>
        <w:rPr>
          <w:rFonts w:hint="eastAsia" w:ascii="微软雅黑" w:hAnsi="微软雅黑" w:eastAsia="微软雅黑" w:cs="Times New Roman"/>
          <w:b/>
          <w:color w:val="auto"/>
          <w:sz w:val="28"/>
          <w:szCs w:val="28"/>
        </w:rPr>
        <w:t>（五）毕业资格条件</w:t>
      </w:r>
    </w:p>
    <w:p w14:paraId="04B2CFBA">
      <w:pPr>
        <w:keepNext w:val="0"/>
        <w:keepLines w:val="0"/>
        <w:widowControl/>
        <w:suppressLineNumbers w:val="0"/>
        <w:ind w:firstLine="562" w:firstLineChars="200"/>
        <w:jc w:val="left"/>
      </w:pPr>
      <w:r>
        <w:rPr>
          <w:rFonts w:hint="eastAsia" w:ascii="黑体" w:hAnsi="宋体" w:eastAsia="黑体" w:cs="黑体"/>
          <w:color w:val="000000"/>
          <w:kern w:val="0"/>
          <w:sz w:val="28"/>
          <w:szCs w:val="28"/>
          <w:lang w:val="en-US" w:eastAsia="zh-CN" w:bidi="ar"/>
        </w:rPr>
        <w:t>1.</w:t>
      </w:r>
      <w:r>
        <w:rPr>
          <w:rFonts w:ascii="黑体" w:hAnsi="宋体" w:eastAsia="黑体" w:cs="黑体"/>
          <w:color w:val="000000"/>
          <w:kern w:val="0"/>
          <w:sz w:val="28"/>
          <w:szCs w:val="28"/>
          <w:lang w:val="en-US" w:eastAsia="zh-CN" w:bidi="ar"/>
        </w:rPr>
        <w:t xml:space="preserve">毕业学分要求 </w:t>
      </w:r>
    </w:p>
    <w:p w14:paraId="5A086B7F">
      <w:pPr>
        <w:widowControl/>
        <w:ind w:firstLine="560" w:firstLineChars="200"/>
        <w:textAlignment w:val="center"/>
        <w:rPr>
          <w:rFonts w:hint="eastAsia" w:ascii="宋体" w:hAnsi="宋体" w:eastAsia="宋体"/>
          <w:sz w:val="28"/>
          <w:szCs w:val="28"/>
        </w:rPr>
      </w:pPr>
      <w:r>
        <w:rPr>
          <w:rFonts w:hint="eastAsia" w:ascii="宋体" w:hAnsi="宋体" w:eastAsia="宋体"/>
          <w:sz w:val="28"/>
          <w:szCs w:val="28"/>
          <w:lang w:val="en-US" w:eastAsia="zh-CN"/>
        </w:rPr>
        <w:t xml:space="preserve">学生共须修满 </w:t>
      </w:r>
      <w:r>
        <w:rPr>
          <w:rFonts w:hint="default" w:ascii="宋体" w:hAnsi="宋体" w:eastAsia="宋体"/>
          <w:sz w:val="28"/>
          <w:szCs w:val="28"/>
          <w:lang w:val="en-US" w:eastAsia="zh-CN"/>
        </w:rPr>
        <w:t>157</w:t>
      </w:r>
      <w:r>
        <w:rPr>
          <w:rFonts w:hint="eastAsia" w:ascii="宋体" w:hAnsi="宋体" w:eastAsia="宋体"/>
          <w:sz w:val="28"/>
          <w:szCs w:val="28"/>
          <w:lang w:val="en-US" w:eastAsia="zh-CN"/>
        </w:rPr>
        <w:t>.</w:t>
      </w:r>
      <w:r>
        <w:rPr>
          <w:rFonts w:hint="default" w:ascii="宋体" w:hAnsi="宋体" w:eastAsia="宋体"/>
          <w:sz w:val="28"/>
          <w:szCs w:val="28"/>
          <w:lang w:val="en-US" w:eastAsia="zh-CN"/>
        </w:rPr>
        <w:t xml:space="preserve">5 </w:t>
      </w:r>
      <w:r>
        <w:rPr>
          <w:rFonts w:hint="eastAsia" w:ascii="宋体" w:hAnsi="宋体" w:eastAsia="宋体"/>
          <w:sz w:val="28"/>
          <w:szCs w:val="28"/>
          <w:lang w:val="en-US" w:eastAsia="zh-CN"/>
        </w:rPr>
        <w:t xml:space="preserve">学分，其中通识必修课应修满 </w:t>
      </w:r>
      <w:r>
        <w:rPr>
          <w:rFonts w:hint="default" w:ascii="宋体" w:hAnsi="宋体" w:eastAsia="宋体"/>
          <w:sz w:val="28"/>
          <w:szCs w:val="28"/>
          <w:lang w:val="en-US" w:eastAsia="zh-CN"/>
        </w:rPr>
        <w:t xml:space="preserve">41 </w:t>
      </w:r>
      <w:r>
        <w:rPr>
          <w:rFonts w:hint="eastAsia" w:ascii="宋体" w:hAnsi="宋体" w:eastAsia="宋体"/>
          <w:sz w:val="28"/>
          <w:szCs w:val="28"/>
          <w:lang w:val="en-US" w:eastAsia="zh-CN"/>
        </w:rPr>
        <w:t xml:space="preserve">学分，通识限选课修满 </w:t>
      </w:r>
      <w:r>
        <w:rPr>
          <w:rFonts w:hint="default" w:ascii="宋体" w:hAnsi="宋体" w:eastAsia="宋体"/>
          <w:sz w:val="28"/>
          <w:szCs w:val="28"/>
          <w:lang w:val="en-US" w:eastAsia="zh-CN"/>
        </w:rPr>
        <w:t xml:space="preserve">4 </w:t>
      </w:r>
      <w:r>
        <w:rPr>
          <w:rFonts w:hint="eastAsia" w:ascii="宋体" w:hAnsi="宋体" w:eastAsia="宋体"/>
          <w:sz w:val="28"/>
          <w:szCs w:val="28"/>
          <w:lang w:val="en-US" w:eastAsia="zh-CN"/>
        </w:rPr>
        <w:t xml:space="preserve">学分，通识任选课修满 </w:t>
      </w:r>
      <w:r>
        <w:rPr>
          <w:rFonts w:hint="default" w:ascii="宋体" w:hAnsi="宋体" w:eastAsia="宋体"/>
          <w:sz w:val="28"/>
          <w:szCs w:val="28"/>
          <w:lang w:val="en-US" w:eastAsia="zh-CN"/>
        </w:rPr>
        <w:t xml:space="preserve">4 </w:t>
      </w:r>
      <w:r>
        <w:rPr>
          <w:rFonts w:hint="eastAsia" w:ascii="宋体" w:hAnsi="宋体" w:eastAsia="宋体"/>
          <w:sz w:val="28"/>
          <w:szCs w:val="28"/>
          <w:lang w:val="en-US" w:eastAsia="zh-CN"/>
        </w:rPr>
        <w:t xml:space="preserve">学分；专业教育必修课应修满 </w:t>
      </w:r>
      <w:r>
        <w:rPr>
          <w:rFonts w:hint="default" w:ascii="宋体" w:hAnsi="宋体" w:eastAsia="宋体"/>
          <w:sz w:val="28"/>
          <w:szCs w:val="28"/>
          <w:lang w:val="en-US" w:eastAsia="zh-CN"/>
        </w:rPr>
        <w:t xml:space="preserve">52.5 </w:t>
      </w:r>
      <w:r>
        <w:rPr>
          <w:rFonts w:hint="eastAsia" w:ascii="宋体" w:hAnsi="宋体" w:eastAsia="宋体"/>
          <w:sz w:val="28"/>
          <w:szCs w:val="28"/>
          <w:lang w:val="en-US" w:eastAsia="zh-CN"/>
        </w:rPr>
        <w:t xml:space="preserve">学分，专业限选课修满 </w:t>
      </w:r>
      <w:r>
        <w:rPr>
          <w:rFonts w:hint="default" w:ascii="宋体" w:hAnsi="宋体" w:eastAsia="宋体"/>
          <w:sz w:val="28"/>
          <w:szCs w:val="28"/>
          <w:lang w:val="en-US" w:eastAsia="zh-CN"/>
        </w:rPr>
        <w:t xml:space="preserve">7 </w:t>
      </w:r>
      <w:r>
        <w:rPr>
          <w:rFonts w:hint="eastAsia" w:ascii="宋体" w:hAnsi="宋体" w:eastAsia="宋体"/>
          <w:sz w:val="28"/>
          <w:szCs w:val="28"/>
          <w:lang w:val="en-US" w:eastAsia="zh-CN"/>
        </w:rPr>
        <w:t xml:space="preserve">学分；素质拓展与社会实践类课程修满 </w:t>
      </w:r>
      <w:r>
        <w:rPr>
          <w:rFonts w:hint="default" w:ascii="宋体" w:hAnsi="宋体" w:eastAsia="宋体"/>
          <w:sz w:val="28"/>
          <w:szCs w:val="28"/>
          <w:lang w:val="en-US" w:eastAsia="zh-CN"/>
        </w:rPr>
        <w:t xml:space="preserve">6 </w:t>
      </w:r>
      <w:r>
        <w:rPr>
          <w:rFonts w:hint="eastAsia" w:ascii="宋体" w:hAnsi="宋体" w:eastAsia="宋体"/>
          <w:sz w:val="28"/>
          <w:szCs w:val="28"/>
          <w:lang w:val="en-US" w:eastAsia="zh-CN"/>
        </w:rPr>
        <w:t xml:space="preserve">学分，综合实践模块 </w:t>
      </w:r>
      <w:r>
        <w:rPr>
          <w:rFonts w:hint="default" w:ascii="宋体" w:hAnsi="宋体" w:eastAsia="宋体"/>
          <w:sz w:val="28"/>
          <w:szCs w:val="28"/>
          <w:lang w:val="en-US" w:eastAsia="zh-CN"/>
        </w:rPr>
        <w:t xml:space="preserve">43 </w:t>
      </w:r>
      <w:r>
        <w:rPr>
          <w:rFonts w:hint="eastAsia" w:ascii="宋体" w:hAnsi="宋体" w:eastAsia="宋体"/>
          <w:sz w:val="28"/>
          <w:szCs w:val="28"/>
          <w:lang w:val="en-US" w:eastAsia="zh-CN"/>
        </w:rPr>
        <w:t>学</w:t>
      </w:r>
      <w:bookmarkStart w:id="25" w:name="_GoBack"/>
      <w:bookmarkEnd w:id="25"/>
      <w:r>
        <w:rPr>
          <w:rFonts w:hint="eastAsia" w:ascii="宋体" w:hAnsi="宋体" w:eastAsia="宋体"/>
          <w:sz w:val="28"/>
          <w:szCs w:val="28"/>
          <w:lang w:val="en-US" w:eastAsia="zh-CN"/>
        </w:rPr>
        <w:t xml:space="preserve">分。各类课程学分可根据《江苏海院学分积累、转换和认定办法》予以认定。 </w:t>
      </w:r>
    </w:p>
    <w:p w14:paraId="764BC041">
      <w:pPr>
        <w:keepNext w:val="0"/>
        <w:keepLines w:val="0"/>
        <w:widowControl/>
        <w:suppressLineNumbers w:val="0"/>
        <w:ind w:firstLine="562" w:firstLineChars="200"/>
        <w:jc w:val="left"/>
      </w:pPr>
      <w:r>
        <w:rPr>
          <w:rFonts w:hint="eastAsia" w:ascii="黑体" w:hAnsi="宋体" w:eastAsia="黑体" w:cs="黑体"/>
          <w:color w:val="000000"/>
          <w:kern w:val="0"/>
          <w:sz w:val="28"/>
          <w:szCs w:val="28"/>
          <w:lang w:val="en-US" w:eastAsia="zh-CN" w:bidi="ar"/>
        </w:rPr>
        <w:t xml:space="preserve">2.学生思想品德考核要求 </w:t>
      </w:r>
    </w:p>
    <w:p w14:paraId="500717B7">
      <w:pPr>
        <w:widowControl/>
        <w:ind w:firstLine="560" w:firstLineChars="200"/>
        <w:textAlignment w:val="center"/>
        <w:rPr>
          <w:rFonts w:hint="eastAsia" w:ascii="宋体" w:hAnsi="宋体" w:eastAsia="宋体"/>
          <w:sz w:val="28"/>
          <w:szCs w:val="28"/>
          <w:lang w:val="en-US" w:eastAsia="zh-CN"/>
        </w:rPr>
      </w:pPr>
      <w:r>
        <w:rPr>
          <w:rFonts w:hint="eastAsia" w:ascii="宋体" w:hAnsi="宋体" w:eastAsia="宋体"/>
          <w:sz w:val="28"/>
          <w:szCs w:val="28"/>
          <w:lang w:val="en-US" w:eastAsia="zh-CN"/>
        </w:rPr>
        <w:t>学生毕业前思想品德考核必须为合格以上，由学生工作处负责考核、鉴定。</w:t>
      </w:r>
    </w:p>
    <w:p w14:paraId="2BA0198A">
      <w:pPr>
        <w:pStyle w:val="2"/>
        <w:ind w:firstLine="549"/>
        <w:rPr>
          <w:rFonts w:ascii="微软雅黑" w:hAnsi="微软雅黑" w:eastAsia="微软雅黑" w:cs="Times New Roman"/>
          <w:b/>
          <w:color w:val="auto"/>
          <w:sz w:val="28"/>
          <w:szCs w:val="28"/>
        </w:rPr>
      </w:pPr>
      <w:r>
        <w:rPr>
          <w:rFonts w:hint="eastAsia" w:ascii="微软雅黑" w:hAnsi="微软雅黑" w:eastAsia="微软雅黑" w:cs="Times New Roman"/>
          <w:b/>
          <w:color w:val="auto"/>
          <w:sz w:val="28"/>
          <w:szCs w:val="28"/>
        </w:rPr>
        <w:t>二</w:t>
      </w:r>
      <w:r>
        <w:rPr>
          <w:rFonts w:ascii="微软雅黑" w:hAnsi="微软雅黑" w:eastAsia="微软雅黑" w:cs="Times New Roman"/>
          <w:b/>
          <w:color w:val="auto"/>
          <w:sz w:val="28"/>
          <w:szCs w:val="28"/>
        </w:rPr>
        <w:t>、</w:t>
      </w:r>
      <w:r>
        <w:rPr>
          <w:rFonts w:hint="eastAsia" w:ascii="微软雅黑" w:hAnsi="微软雅黑" w:eastAsia="微软雅黑" w:cs="Times New Roman"/>
          <w:b/>
          <w:color w:val="auto"/>
          <w:sz w:val="28"/>
          <w:szCs w:val="28"/>
        </w:rPr>
        <w:t>转专业录取办法</w:t>
      </w:r>
    </w:p>
    <w:p w14:paraId="370CADA9">
      <w:pPr>
        <w:pStyle w:val="2"/>
        <w:ind w:firstLine="549"/>
        <w:rPr>
          <w:rFonts w:ascii="微软雅黑" w:hAnsi="微软雅黑" w:eastAsia="微软雅黑" w:cs="Times New Roman"/>
          <w:b/>
          <w:color w:val="auto"/>
          <w:sz w:val="28"/>
          <w:szCs w:val="28"/>
        </w:rPr>
      </w:pPr>
      <w:r>
        <w:rPr>
          <w:rFonts w:ascii="微软雅黑" w:hAnsi="微软雅黑" w:eastAsia="微软雅黑" w:cs="Times New Roman"/>
          <w:b/>
          <w:color w:val="auto"/>
          <w:sz w:val="28"/>
          <w:szCs w:val="28"/>
        </w:rPr>
        <w:t>（</w:t>
      </w:r>
      <w:r>
        <w:rPr>
          <w:rFonts w:hint="eastAsia" w:ascii="微软雅黑" w:hAnsi="微软雅黑" w:eastAsia="微软雅黑" w:cs="Times New Roman"/>
          <w:b/>
          <w:color w:val="auto"/>
          <w:sz w:val="28"/>
          <w:szCs w:val="28"/>
        </w:rPr>
        <w:t>一</w:t>
      </w:r>
      <w:r>
        <w:rPr>
          <w:rFonts w:ascii="微软雅黑" w:hAnsi="微软雅黑" w:eastAsia="微软雅黑" w:cs="Times New Roman"/>
          <w:b/>
          <w:color w:val="auto"/>
          <w:sz w:val="28"/>
          <w:szCs w:val="28"/>
        </w:rPr>
        <w:t>）</w:t>
      </w:r>
      <w:r>
        <w:rPr>
          <w:rFonts w:hint="eastAsia" w:ascii="微软雅黑" w:hAnsi="微软雅黑" w:eastAsia="微软雅黑" w:cs="Times New Roman"/>
          <w:b/>
          <w:color w:val="auto"/>
          <w:sz w:val="28"/>
          <w:szCs w:val="28"/>
        </w:rPr>
        <w:t>接受对象</w:t>
      </w:r>
    </w:p>
    <w:p w14:paraId="1A38D0D5">
      <w:pPr>
        <w:ind w:firstLine="555"/>
        <w:rPr>
          <w:rFonts w:ascii="宋体" w:hAnsi="宋体" w:eastAsia="宋体"/>
          <w:sz w:val="28"/>
          <w:szCs w:val="28"/>
        </w:rPr>
      </w:pPr>
      <w:r>
        <w:rPr>
          <w:rFonts w:hint="eastAsia" w:ascii="宋体" w:hAnsi="宋体" w:eastAsia="宋体"/>
          <w:sz w:val="28"/>
          <w:szCs w:val="28"/>
        </w:rPr>
        <w:t>符合《江苏海事职业技术学院学生学籍管理办法》遴选方案规定的相关学生。</w:t>
      </w:r>
    </w:p>
    <w:p w14:paraId="7AE408B1">
      <w:pPr>
        <w:pStyle w:val="2"/>
        <w:ind w:firstLine="549"/>
        <w:rPr>
          <w:rFonts w:ascii="微软雅黑" w:hAnsi="微软雅黑" w:eastAsia="微软雅黑" w:cs="Times New Roman"/>
          <w:b/>
          <w:color w:val="auto"/>
          <w:sz w:val="28"/>
          <w:szCs w:val="28"/>
        </w:rPr>
      </w:pPr>
      <w:r>
        <w:rPr>
          <w:rFonts w:ascii="微软雅黑" w:hAnsi="微软雅黑" w:eastAsia="微软雅黑" w:cs="Times New Roman"/>
          <w:b/>
          <w:color w:val="auto"/>
          <w:sz w:val="28"/>
          <w:szCs w:val="28"/>
        </w:rPr>
        <w:t>（</w:t>
      </w:r>
      <w:r>
        <w:rPr>
          <w:rFonts w:hint="eastAsia" w:ascii="微软雅黑" w:hAnsi="微软雅黑" w:eastAsia="微软雅黑" w:cs="Times New Roman"/>
          <w:b/>
          <w:color w:val="auto"/>
          <w:sz w:val="28"/>
          <w:szCs w:val="28"/>
        </w:rPr>
        <w:t>二</w:t>
      </w:r>
      <w:r>
        <w:rPr>
          <w:rFonts w:ascii="微软雅黑" w:hAnsi="微软雅黑" w:eastAsia="微软雅黑" w:cs="Times New Roman"/>
          <w:b/>
          <w:color w:val="auto"/>
          <w:sz w:val="28"/>
          <w:szCs w:val="28"/>
        </w:rPr>
        <w:t>）</w:t>
      </w:r>
      <w:r>
        <w:rPr>
          <w:rFonts w:hint="eastAsia" w:ascii="微软雅黑" w:hAnsi="微软雅黑" w:eastAsia="微软雅黑" w:cs="Times New Roman"/>
          <w:b/>
          <w:color w:val="auto"/>
          <w:sz w:val="28"/>
          <w:szCs w:val="28"/>
        </w:rPr>
        <w:t>遴选方案</w:t>
      </w:r>
    </w:p>
    <w:p w14:paraId="0FAA6AB2">
      <w:pPr>
        <w:ind w:firstLine="560" w:firstLineChars="200"/>
        <w:rPr>
          <w:rFonts w:ascii="宋体" w:hAnsi="宋体" w:eastAsia="宋体"/>
          <w:sz w:val="28"/>
          <w:szCs w:val="28"/>
        </w:rPr>
      </w:pPr>
      <w:r>
        <w:rPr>
          <w:rFonts w:hint="eastAsia" w:ascii="宋体" w:hAnsi="宋体" w:eastAsia="宋体"/>
          <w:sz w:val="28"/>
          <w:szCs w:val="28"/>
          <w:lang w:val="en-US" w:eastAsia="zh-CN"/>
        </w:rPr>
        <w:t>1</w:t>
      </w:r>
      <w:r>
        <w:rPr>
          <w:rFonts w:ascii="宋体" w:hAnsi="宋体" w:eastAsia="宋体"/>
          <w:sz w:val="28"/>
          <w:szCs w:val="28"/>
        </w:rPr>
        <w:t>.</w:t>
      </w:r>
      <w:r>
        <w:rPr>
          <w:rFonts w:hint="eastAsia" w:ascii="宋体" w:hAnsi="宋体" w:eastAsia="宋体"/>
          <w:sz w:val="28"/>
          <w:szCs w:val="28"/>
        </w:rPr>
        <w:t>在校学习期间，无处分记录。</w:t>
      </w:r>
    </w:p>
    <w:p w14:paraId="050AF297">
      <w:pPr>
        <w:ind w:firstLine="555"/>
        <w:rPr>
          <w:rFonts w:hint="eastAsia" w:ascii="宋体" w:hAnsi="宋体" w:eastAsia="宋体"/>
          <w:sz w:val="28"/>
          <w:szCs w:val="28"/>
          <w:lang w:val="en-US" w:eastAsia="zh-CN"/>
        </w:rPr>
      </w:pPr>
      <w:r>
        <w:rPr>
          <w:rFonts w:hint="eastAsia" w:ascii="宋体" w:hAnsi="宋体" w:eastAsia="宋体"/>
          <w:sz w:val="28"/>
          <w:szCs w:val="28"/>
          <w:lang w:val="en-US" w:eastAsia="zh-CN"/>
        </w:rPr>
        <w:t>2</w:t>
      </w:r>
      <w:r>
        <w:rPr>
          <w:rFonts w:ascii="宋体" w:hAnsi="宋体" w:eastAsia="宋体"/>
          <w:sz w:val="28"/>
          <w:szCs w:val="28"/>
        </w:rPr>
        <w:t>.</w:t>
      </w:r>
      <w:r>
        <w:rPr>
          <w:rFonts w:hint="eastAsia" w:ascii="宋体" w:hAnsi="宋体" w:eastAsia="宋体"/>
          <w:sz w:val="28"/>
          <w:szCs w:val="28"/>
        </w:rPr>
        <w:t>以当前学期平均学分绩点</w:t>
      </w:r>
      <w:r>
        <w:rPr>
          <w:rFonts w:hint="eastAsia" w:ascii="宋体" w:hAnsi="宋体" w:eastAsia="宋体"/>
          <w:sz w:val="28"/>
          <w:szCs w:val="28"/>
          <w:lang w:val="en-US" w:eastAsia="zh-CN"/>
        </w:rPr>
        <w:t>由高到低排序，平均绩分点相同时，按班级综合排名排序。</w:t>
      </w:r>
    </w:p>
    <w:p w14:paraId="64574653">
      <w:pPr>
        <w:ind w:firstLine="555"/>
        <w:rPr>
          <w:rFonts w:hint="default" w:ascii="宋体" w:hAnsi="宋体" w:eastAsia="宋体"/>
          <w:sz w:val="28"/>
          <w:szCs w:val="28"/>
          <w:lang w:val="en-US" w:eastAsia="zh-CN"/>
        </w:rPr>
      </w:pPr>
      <w:r>
        <w:rPr>
          <w:rFonts w:hint="eastAsia" w:ascii="宋体" w:hAnsi="宋体" w:eastAsia="宋体"/>
          <w:sz w:val="28"/>
          <w:szCs w:val="28"/>
          <w:lang w:val="en-US" w:eastAsia="zh-CN"/>
        </w:rPr>
        <w:t>3.按第1-3条规定程序产生的名单安排面试（不超过计划人数110%），以确定最终录取名单。面试具体程序和时间由轮机与电气工程学院安排，不参加面试的学生视为放弃本次转专业机会。</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9F8A0D">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ED1A89">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9ED1A89">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9"/>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wODQxYjk1OTIxMDE5MGUxMzc1ODhlODI1MGYxNTIifQ=="/>
  </w:docVars>
  <w:rsids>
    <w:rsidRoot w:val="00816F75"/>
    <w:rsid w:val="00101D56"/>
    <w:rsid w:val="001050CA"/>
    <w:rsid w:val="00113868"/>
    <w:rsid w:val="00172406"/>
    <w:rsid w:val="001E19FD"/>
    <w:rsid w:val="001F0F0E"/>
    <w:rsid w:val="001F23B9"/>
    <w:rsid w:val="0028070B"/>
    <w:rsid w:val="003055C1"/>
    <w:rsid w:val="00326C11"/>
    <w:rsid w:val="00335D33"/>
    <w:rsid w:val="00364A07"/>
    <w:rsid w:val="003A6DB4"/>
    <w:rsid w:val="003B2ACD"/>
    <w:rsid w:val="003F1B8F"/>
    <w:rsid w:val="00426CCA"/>
    <w:rsid w:val="0047013C"/>
    <w:rsid w:val="004A6F37"/>
    <w:rsid w:val="004D0A00"/>
    <w:rsid w:val="004E26BB"/>
    <w:rsid w:val="005460D2"/>
    <w:rsid w:val="005540F2"/>
    <w:rsid w:val="00560DFE"/>
    <w:rsid w:val="00564AFE"/>
    <w:rsid w:val="00576C24"/>
    <w:rsid w:val="005C280D"/>
    <w:rsid w:val="00605A39"/>
    <w:rsid w:val="00611EF5"/>
    <w:rsid w:val="0064002E"/>
    <w:rsid w:val="006764E6"/>
    <w:rsid w:val="007407C0"/>
    <w:rsid w:val="00740F4E"/>
    <w:rsid w:val="0077075A"/>
    <w:rsid w:val="00795095"/>
    <w:rsid w:val="00814B28"/>
    <w:rsid w:val="00816F75"/>
    <w:rsid w:val="00821226"/>
    <w:rsid w:val="00830288"/>
    <w:rsid w:val="00844269"/>
    <w:rsid w:val="008C7E7E"/>
    <w:rsid w:val="008F2E84"/>
    <w:rsid w:val="0093484B"/>
    <w:rsid w:val="009418A6"/>
    <w:rsid w:val="00977ED2"/>
    <w:rsid w:val="009821D3"/>
    <w:rsid w:val="009914C9"/>
    <w:rsid w:val="00A0768D"/>
    <w:rsid w:val="00A71FD1"/>
    <w:rsid w:val="00AA14CE"/>
    <w:rsid w:val="00B60E70"/>
    <w:rsid w:val="00B904D9"/>
    <w:rsid w:val="00B94D2C"/>
    <w:rsid w:val="00BA5AD6"/>
    <w:rsid w:val="00C375E1"/>
    <w:rsid w:val="00C422FE"/>
    <w:rsid w:val="00C933C5"/>
    <w:rsid w:val="00CE59FB"/>
    <w:rsid w:val="00D16F6B"/>
    <w:rsid w:val="00D40834"/>
    <w:rsid w:val="00D932F6"/>
    <w:rsid w:val="00DA2FBE"/>
    <w:rsid w:val="00EB17B1"/>
    <w:rsid w:val="00F3689C"/>
    <w:rsid w:val="00F55032"/>
    <w:rsid w:val="00F90F8F"/>
    <w:rsid w:val="00F97CAE"/>
    <w:rsid w:val="00FB4213"/>
    <w:rsid w:val="00FE3F1A"/>
    <w:rsid w:val="01BE5322"/>
    <w:rsid w:val="01CE347E"/>
    <w:rsid w:val="01E8681A"/>
    <w:rsid w:val="079552A2"/>
    <w:rsid w:val="0E745874"/>
    <w:rsid w:val="10983072"/>
    <w:rsid w:val="10A94E84"/>
    <w:rsid w:val="11D84F83"/>
    <w:rsid w:val="125B6977"/>
    <w:rsid w:val="197D1956"/>
    <w:rsid w:val="1FFC75A2"/>
    <w:rsid w:val="236D6546"/>
    <w:rsid w:val="274F4643"/>
    <w:rsid w:val="28485A68"/>
    <w:rsid w:val="2B06156E"/>
    <w:rsid w:val="32DF505E"/>
    <w:rsid w:val="36FB7844"/>
    <w:rsid w:val="37BF3386"/>
    <w:rsid w:val="37C466EB"/>
    <w:rsid w:val="3C6A680D"/>
    <w:rsid w:val="3FE17922"/>
    <w:rsid w:val="402B7525"/>
    <w:rsid w:val="4032095F"/>
    <w:rsid w:val="49E90AD8"/>
    <w:rsid w:val="49F71228"/>
    <w:rsid w:val="4E501A51"/>
    <w:rsid w:val="4F9B7383"/>
    <w:rsid w:val="4FA11593"/>
    <w:rsid w:val="4FFA78B0"/>
    <w:rsid w:val="53A07069"/>
    <w:rsid w:val="5B4B7CD3"/>
    <w:rsid w:val="5B8303A9"/>
    <w:rsid w:val="603C006D"/>
    <w:rsid w:val="66303069"/>
    <w:rsid w:val="736D1D9B"/>
    <w:rsid w:val="74A924C1"/>
    <w:rsid w:val="78134EF5"/>
    <w:rsid w:val="795921BF"/>
    <w:rsid w:val="79C06B28"/>
    <w:rsid w:val="79CB6BFD"/>
    <w:rsid w:val="7C7D3D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autoRedefine/>
    <w:qFormat/>
    <w:uiPriority w:val="99"/>
    <w:pPr>
      <w:tabs>
        <w:tab w:val="left" w:pos="720"/>
      </w:tabs>
      <w:adjustRightInd w:val="0"/>
      <w:snapToGrid w:val="0"/>
      <w:spacing w:before="312" w:beforeLines="100" w:after="312" w:afterLines="100"/>
      <w:ind w:firstLine="627" w:firstLineChars="196"/>
      <w:outlineLvl w:val="0"/>
    </w:pPr>
    <w:rPr>
      <w:rFonts w:ascii="黑体" w:hAnsi="黑体" w:eastAsia="黑体"/>
      <w:color w:val="000000"/>
      <w:sz w:val="32"/>
      <w:szCs w:val="32"/>
    </w:rPr>
  </w:style>
  <w:style w:type="paragraph" w:styleId="3">
    <w:name w:val="heading 2"/>
    <w:basedOn w:val="1"/>
    <w:next w:val="1"/>
    <w:link w:val="20"/>
    <w:autoRedefine/>
    <w:unhideWhenUsed/>
    <w:qFormat/>
    <w:uiPriority w:val="99"/>
    <w:pPr>
      <w:adjustRightInd w:val="0"/>
      <w:snapToGrid w:val="0"/>
      <w:spacing w:before="156" w:beforeLines="50" w:after="156" w:afterLines="50"/>
      <w:ind w:firstLine="560" w:firstLineChars="200"/>
      <w:outlineLvl w:val="1"/>
    </w:pPr>
    <w:rPr>
      <w:rFonts w:ascii="黑体" w:hAnsi="黑体" w:eastAsia="黑体"/>
      <w:color w:val="000000"/>
      <w:sz w:val="28"/>
      <w:szCs w:val="28"/>
    </w:rPr>
  </w:style>
  <w:style w:type="paragraph" w:styleId="4">
    <w:name w:val="heading 3"/>
    <w:basedOn w:val="1"/>
    <w:next w:val="1"/>
    <w:link w:val="21"/>
    <w:autoRedefine/>
    <w:unhideWhenUsed/>
    <w:qFormat/>
    <w:uiPriority w:val="9"/>
    <w:pPr>
      <w:autoSpaceDE w:val="0"/>
      <w:autoSpaceDN w:val="0"/>
      <w:adjustRightInd w:val="0"/>
      <w:spacing w:line="360" w:lineRule="auto"/>
      <w:ind w:firstLine="516" w:firstLineChars="214"/>
      <w:outlineLvl w:val="2"/>
    </w:pPr>
    <w:rPr>
      <w:rFonts w:cs="仿宋_GB2312" w:asciiTheme="minorEastAsia" w:hAnsiTheme="minorEastAsia"/>
      <w:b/>
      <w:bCs/>
      <w:sz w:val="24"/>
      <w:szCs w:val="24"/>
    </w:rPr>
  </w:style>
  <w:style w:type="character" w:default="1" w:styleId="13">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link w:val="15"/>
    <w:autoRedefine/>
    <w:qFormat/>
    <w:uiPriority w:val="0"/>
    <w:pPr>
      <w:jc w:val="left"/>
    </w:pPr>
    <w:rPr>
      <w:rFonts w:eastAsia="宋体"/>
      <w:szCs w:val="24"/>
    </w:rPr>
  </w:style>
  <w:style w:type="paragraph" w:styleId="6">
    <w:name w:val="Plain Text"/>
    <w:basedOn w:val="1"/>
    <w:autoRedefine/>
    <w:qFormat/>
    <w:uiPriority w:val="0"/>
    <w:rPr>
      <w:rFonts w:ascii="宋体" w:hAnsi="Courier New" w:cs="Courier New"/>
      <w:iCs/>
      <w:color w:val="000000"/>
      <w:szCs w:val="21"/>
    </w:rPr>
  </w:style>
  <w:style w:type="paragraph" w:styleId="7">
    <w:name w:val="Balloon Text"/>
    <w:basedOn w:val="1"/>
    <w:link w:val="18"/>
    <w:autoRedefine/>
    <w:semiHidden/>
    <w:unhideWhenUsed/>
    <w:qFormat/>
    <w:uiPriority w:val="99"/>
    <w:rPr>
      <w:sz w:val="18"/>
      <w:szCs w:val="18"/>
    </w:rPr>
  </w:style>
  <w:style w:type="paragraph" w:styleId="8">
    <w:name w:val="footer"/>
    <w:basedOn w:val="1"/>
    <w:link w:val="23"/>
    <w:autoRedefine/>
    <w:unhideWhenUsed/>
    <w:qFormat/>
    <w:uiPriority w:val="0"/>
    <w:pPr>
      <w:tabs>
        <w:tab w:val="center" w:pos="4153"/>
        <w:tab w:val="right" w:pos="8306"/>
      </w:tabs>
      <w:snapToGrid w:val="0"/>
      <w:jc w:val="left"/>
    </w:pPr>
    <w:rPr>
      <w:sz w:val="18"/>
      <w:szCs w:val="18"/>
    </w:rPr>
  </w:style>
  <w:style w:type="paragraph" w:styleId="9">
    <w:name w:val="header"/>
    <w:basedOn w:val="1"/>
    <w:link w:val="25"/>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annotation subject"/>
    <w:basedOn w:val="5"/>
    <w:next w:val="5"/>
    <w:link w:val="22"/>
    <w:autoRedefine/>
    <w:semiHidden/>
    <w:unhideWhenUsed/>
    <w:qFormat/>
    <w:uiPriority w:val="99"/>
    <w:rPr>
      <w:rFonts w:eastAsiaTheme="minorEastAsia"/>
      <w:b/>
      <w:bCs/>
      <w:szCs w:val="22"/>
    </w:rPr>
  </w:style>
  <w:style w:type="table" w:styleId="12">
    <w:name w:val="Table Grid"/>
    <w:basedOn w:val="1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annotation reference"/>
    <w:autoRedefine/>
    <w:qFormat/>
    <w:uiPriority w:val="0"/>
    <w:rPr>
      <w:sz w:val="21"/>
      <w:szCs w:val="21"/>
    </w:rPr>
  </w:style>
  <w:style w:type="character" w:customStyle="1" w:styleId="15">
    <w:name w:val="批注文字 Char"/>
    <w:link w:val="5"/>
    <w:autoRedefine/>
    <w:qFormat/>
    <w:uiPriority w:val="0"/>
    <w:rPr>
      <w:rFonts w:eastAsia="宋体"/>
      <w:szCs w:val="24"/>
    </w:rPr>
  </w:style>
  <w:style w:type="character" w:customStyle="1" w:styleId="16">
    <w:name w:val="批注文字 Char1"/>
    <w:basedOn w:val="13"/>
    <w:autoRedefine/>
    <w:semiHidden/>
    <w:qFormat/>
    <w:uiPriority w:val="99"/>
  </w:style>
  <w:style w:type="paragraph" w:customStyle="1" w:styleId="17">
    <w:name w:val="Char Char Char Char"/>
    <w:basedOn w:val="1"/>
    <w:autoRedefine/>
    <w:qFormat/>
    <w:uiPriority w:val="0"/>
    <w:pPr>
      <w:widowControl/>
      <w:spacing w:after="160" w:line="240" w:lineRule="exact"/>
      <w:jc w:val="left"/>
    </w:pPr>
    <w:rPr>
      <w:rFonts w:ascii="Times New Roman" w:hAnsi="Times New Roman" w:eastAsia="宋体" w:cs="Times New Roman"/>
      <w:szCs w:val="24"/>
    </w:rPr>
  </w:style>
  <w:style w:type="character" w:customStyle="1" w:styleId="18">
    <w:name w:val="批注框文本 Char"/>
    <w:basedOn w:val="13"/>
    <w:link w:val="7"/>
    <w:autoRedefine/>
    <w:semiHidden/>
    <w:qFormat/>
    <w:uiPriority w:val="99"/>
    <w:rPr>
      <w:sz w:val="18"/>
      <w:szCs w:val="18"/>
    </w:rPr>
  </w:style>
  <w:style w:type="character" w:customStyle="1" w:styleId="19">
    <w:name w:val="标题 1 Char"/>
    <w:basedOn w:val="13"/>
    <w:link w:val="2"/>
    <w:autoRedefine/>
    <w:qFormat/>
    <w:uiPriority w:val="99"/>
    <w:rPr>
      <w:rFonts w:ascii="黑体" w:hAnsi="黑体" w:eastAsia="黑体"/>
      <w:color w:val="000000"/>
      <w:sz w:val="32"/>
      <w:szCs w:val="32"/>
    </w:rPr>
  </w:style>
  <w:style w:type="character" w:customStyle="1" w:styleId="20">
    <w:name w:val="标题 2 Char"/>
    <w:basedOn w:val="13"/>
    <w:link w:val="3"/>
    <w:autoRedefine/>
    <w:qFormat/>
    <w:uiPriority w:val="99"/>
    <w:rPr>
      <w:rFonts w:ascii="黑体" w:hAnsi="黑体" w:eastAsia="黑体"/>
      <w:color w:val="000000"/>
      <w:sz w:val="28"/>
      <w:szCs w:val="28"/>
    </w:rPr>
  </w:style>
  <w:style w:type="character" w:customStyle="1" w:styleId="21">
    <w:name w:val="标题 3 Char"/>
    <w:basedOn w:val="13"/>
    <w:link w:val="4"/>
    <w:autoRedefine/>
    <w:qFormat/>
    <w:uiPriority w:val="9"/>
    <w:rPr>
      <w:rFonts w:cs="仿宋_GB2312" w:asciiTheme="minorEastAsia" w:hAnsiTheme="minorEastAsia"/>
      <w:b/>
      <w:bCs/>
      <w:sz w:val="24"/>
      <w:szCs w:val="24"/>
    </w:rPr>
  </w:style>
  <w:style w:type="character" w:customStyle="1" w:styleId="22">
    <w:name w:val="批注主题 Char"/>
    <w:basedOn w:val="15"/>
    <w:link w:val="10"/>
    <w:autoRedefine/>
    <w:semiHidden/>
    <w:qFormat/>
    <w:uiPriority w:val="99"/>
    <w:rPr>
      <w:rFonts w:eastAsia="宋体"/>
      <w:b/>
      <w:bCs/>
      <w:szCs w:val="24"/>
    </w:rPr>
  </w:style>
  <w:style w:type="character" w:customStyle="1" w:styleId="23">
    <w:name w:val="页脚 Char"/>
    <w:basedOn w:val="13"/>
    <w:link w:val="8"/>
    <w:autoRedefine/>
    <w:qFormat/>
    <w:uiPriority w:val="0"/>
    <w:rPr>
      <w:sz w:val="18"/>
      <w:szCs w:val="18"/>
    </w:rPr>
  </w:style>
  <w:style w:type="paragraph" w:customStyle="1" w:styleId="24">
    <w:name w:val="样式1"/>
    <w:basedOn w:val="1"/>
    <w:autoRedefine/>
    <w:qFormat/>
    <w:uiPriority w:val="0"/>
    <w:pPr>
      <w:widowControl/>
      <w:jc w:val="left"/>
    </w:pPr>
    <w:rPr>
      <w:rFonts w:ascii="Times New Roman" w:hAnsi="Times New Roman" w:eastAsia="宋体" w:cs="Times New Roman"/>
      <w:kern w:val="0"/>
      <w:sz w:val="24"/>
      <w:szCs w:val="24"/>
      <w:lang w:eastAsia="en-US" w:bidi="en-US"/>
    </w:rPr>
  </w:style>
  <w:style w:type="character" w:customStyle="1" w:styleId="25">
    <w:name w:val="页眉 Char"/>
    <w:basedOn w:val="13"/>
    <w:link w:val="9"/>
    <w:autoRedefine/>
    <w:qFormat/>
    <w:uiPriority w:val="99"/>
    <w:rPr>
      <w:sz w:val="18"/>
      <w:szCs w:val="18"/>
    </w:rPr>
  </w:style>
  <w:style w:type="paragraph" w:customStyle="1" w:styleId="26">
    <w:name w:val="样式6"/>
    <w:basedOn w:val="27"/>
    <w:autoRedefine/>
    <w:qFormat/>
    <w:uiPriority w:val="0"/>
    <w:pPr>
      <w:ind w:left="380"/>
      <w:jc w:val="both"/>
    </w:pPr>
  </w:style>
  <w:style w:type="paragraph" w:customStyle="1" w:styleId="27">
    <w:name w:val="样式5"/>
    <w:basedOn w:val="1"/>
    <w:autoRedefine/>
    <w:qFormat/>
    <w:uiPriority w:val="0"/>
    <w:pPr>
      <w:widowControl/>
      <w:spacing w:line="300" w:lineRule="auto"/>
      <w:jc w:val="left"/>
    </w:pPr>
    <w:rPr>
      <w:rFonts w:ascii="宋体" w:hAnsi="宋体"/>
      <w:color w:val="000000"/>
      <w:kern w:val="0"/>
      <w:sz w:val="24"/>
    </w:rPr>
  </w:style>
  <w:style w:type="paragraph" w:customStyle="1" w:styleId="28">
    <w:name w:val="reader-word-layer"/>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table" w:customStyle="1" w:styleId="29">
    <w:name w:val="网格型1"/>
    <w:basedOn w:val="11"/>
    <w:autoRedefine/>
    <w:qFormat/>
    <w:uiPriority w:val="39"/>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1416</Words>
  <Characters>1456</Characters>
  <Lines>10</Lines>
  <Paragraphs>3</Paragraphs>
  <TotalTime>1</TotalTime>
  <ScaleCrop>false</ScaleCrop>
  <LinksUpToDate>false</LinksUpToDate>
  <CharactersWithSpaces>1461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2019-12-23T06:01:00Z</dcterms:created>
  <dc:creator>王涛</dc:creator>
  <cp:lastModifiedBy>孙方霞</cp:lastModifiedBy>
  <cp:lastPrinted>2022-12-04T12:59:00Z</cp:lastPrinted>
  <dcterms:modified xsi:type="dcterms:W3CDTF">2025-12-17T13:02:07Z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425017FBEC1845D2BB6E672A28651C29_13</vt:lpwstr>
  </property>
  <property fmtid="{D5CDD505-2E9C-101B-9397-08002B2CF9AE}" pid="4" name="KSOTemplateDocerSaveRecord">
    <vt:lpwstr>eyJoZGlkIjoiNzEwODQxYjk1OTIxMDE5MGUxMzc1ODhlODI1MGYxNTIiLCJ1c2VySWQiOiI0NzM4ODUxNjQifQ==</vt:lpwstr>
  </property>
</Properties>
</file>